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FA439A">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t>r_asunto</w:t>
      </w:r>
    </w:p>
    <w:p w14:paraId="7F7EB8DF" w14:textId="77777777" w:rsidR="00DE1913" w:rsidRDefault="00DE1913">
      <w:pPr>
        <w:pStyle w:val="Textoindependiente"/>
        <w:ind w:right="40"/>
        <w:rPr>
          <w:rFonts w:ascii="Work Sans" w:hAnsi="Work Sans"/>
          <w:szCs w:val="24"/>
        </w:rPr>
      </w:pPr>
    </w:p>
    <w:p w14:paraId="02424CA1" w14:textId="77777777" w:rsidR="00542DF8" w:rsidRDefault="00542DF8" w:rsidP="00542DF8">
      <w:pPr>
        <w:spacing w:line="240" w:lineRule="auto"/>
        <w:ind w:right="51"/>
        <w:contextualSpacing/>
        <w:jc w:val="both"/>
        <w:rPr>
          <w:rFonts w:ascii="Work Sans" w:hAnsi="Work Sans" w:cs="Arial"/>
          <w:sz w:val="24"/>
        </w:rPr>
      </w:pPr>
      <w:r>
        <w:rPr>
          <w:rFonts w:ascii="Work Sans" w:hAnsi="Work Sans" w:cs="Arial"/>
          <w:sz w:val="24"/>
        </w:rPr>
        <w:t>Respetado señor, reciba un c</w:t>
      </w:r>
      <w:r w:rsidRPr="00AA416A">
        <w:rPr>
          <w:rFonts w:ascii="Work Sans" w:hAnsi="Work Sans" w:cs="Arial"/>
          <w:sz w:val="24"/>
        </w:rPr>
        <w:t>ordial saludo</w:t>
      </w:r>
      <w:r>
        <w:rPr>
          <w:rFonts w:ascii="Work Sans" w:hAnsi="Work Sans" w:cs="Arial"/>
          <w:sz w:val="24"/>
        </w:rPr>
        <w:t>.</w:t>
      </w:r>
    </w:p>
    <w:p w14:paraId="44825E95" w14:textId="77777777" w:rsidR="00542DF8" w:rsidRDefault="00542DF8" w:rsidP="00542DF8">
      <w:pPr>
        <w:widowControl w:val="0"/>
        <w:suppressAutoHyphens w:val="0"/>
        <w:spacing w:after="0" w:line="240" w:lineRule="auto"/>
        <w:jc w:val="both"/>
        <w:rPr>
          <w:rFonts w:ascii="Work Sans" w:hAnsi="Work Sans" w:cs="Arial"/>
          <w:sz w:val="24"/>
        </w:rPr>
      </w:pPr>
    </w:p>
    <w:p w14:paraId="4FF5FCE7" w14:textId="3D3DD6DA" w:rsidR="00674B06" w:rsidRDefault="00542DF8" w:rsidP="00542DF8">
      <w:pPr>
        <w:spacing w:line="240" w:lineRule="auto"/>
        <w:ind w:right="51"/>
        <w:contextualSpacing/>
        <w:jc w:val="both"/>
        <w:rPr>
          <w:rFonts w:ascii="Work Sans" w:hAnsi="Work Sans" w:cs="Arial"/>
          <w:sz w:val="24"/>
        </w:rPr>
      </w:pPr>
      <w:r>
        <w:rPr>
          <w:rFonts w:ascii="Work Sans" w:hAnsi="Work Sans" w:cs="Arial"/>
          <w:sz w:val="24"/>
        </w:rPr>
        <w:t>L</w:t>
      </w:r>
      <w:r w:rsidRPr="00794860">
        <w:rPr>
          <w:rFonts w:ascii="Work Sans" w:hAnsi="Work Sans" w:cs="Arial"/>
          <w:sz w:val="24"/>
        </w:rPr>
        <w:t xml:space="preserve">a Dirección de Hidrocarburos del Ministerio de Minas y Energía, en ejercicio de las atribuciones legales y reglamentarias asignadas, </w:t>
      </w:r>
      <w:r>
        <w:rPr>
          <w:rFonts w:ascii="Work Sans" w:hAnsi="Work Sans" w:cs="Arial"/>
          <w:sz w:val="24"/>
        </w:rPr>
        <w:t>le informa que</w:t>
      </w:r>
      <w:r w:rsidR="00674B06">
        <w:rPr>
          <w:rFonts w:ascii="Work Sans" w:hAnsi="Work Sans" w:cs="Arial"/>
          <w:sz w:val="24"/>
        </w:rPr>
        <w:t xml:space="preserve"> se encuentra trabajando en la validación de los datos y requisitos relacionados con </w:t>
      </w:r>
      <w:r>
        <w:rPr>
          <w:rFonts w:ascii="Work Sans" w:hAnsi="Work Sans" w:cs="Arial"/>
          <w:sz w:val="24"/>
        </w:rPr>
        <w:t xml:space="preserve">la </w:t>
      </w:r>
      <w:r w:rsidRPr="00542DF8">
        <w:rPr>
          <w:rFonts w:ascii="Work Sans" w:hAnsi="Work Sans" w:cs="Arial"/>
          <w:sz w:val="24"/>
        </w:rPr>
        <w:t>compatibilidad técnica, operativa y normativa del proyecto</w:t>
      </w:r>
      <w:r w:rsidR="00674B06" w:rsidRPr="00674B06">
        <w:rPr>
          <w:rFonts w:ascii="Work Sans" w:hAnsi="Work Sans" w:cs="Arial"/>
          <w:sz w:val="24"/>
        </w:rPr>
        <w:t xml:space="preserve"> de distribución de energía </w:t>
      </w:r>
      <w:r w:rsidR="00674B06" w:rsidRPr="00674B06">
        <w:rPr>
          <w:rFonts w:ascii="Work Sans" w:hAnsi="Work Sans" w:cs="Arial"/>
          <w:i/>
          <w:iCs/>
          <w:sz w:val="24"/>
        </w:rPr>
        <w:t>“Línea de Extensión 3PA-COMBIA, 13.8 kV”</w:t>
      </w:r>
      <w:r w:rsidR="00674B06">
        <w:rPr>
          <w:rFonts w:ascii="Work Sans" w:hAnsi="Work Sans" w:cs="Arial"/>
          <w:sz w:val="24"/>
        </w:rPr>
        <w:t xml:space="preserve">, que se traslapa con el oleoducto y gasoducto propiedad de </w:t>
      </w:r>
      <w:r w:rsidR="00674B06" w:rsidRPr="00674B06">
        <w:rPr>
          <w:rFonts w:ascii="Work Sans" w:hAnsi="Work Sans" w:cs="Arial"/>
          <w:sz w:val="24"/>
        </w:rPr>
        <w:t xml:space="preserve">CENIT </w:t>
      </w:r>
      <w:r w:rsidR="00674B06" w:rsidRPr="00674B06">
        <w:rPr>
          <w:rFonts w:ascii="Work Sans" w:hAnsi="Work Sans" w:cs="Arial"/>
          <w:sz w:val="24"/>
        </w:rPr>
        <w:t xml:space="preserve">Transporte </w:t>
      </w:r>
      <w:r w:rsidR="00674B06">
        <w:rPr>
          <w:rFonts w:ascii="Work Sans" w:hAnsi="Work Sans" w:cs="Arial"/>
          <w:sz w:val="24"/>
        </w:rPr>
        <w:t>y</w:t>
      </w:r>
      <w:r w:rsidR="00674B06" w:rsidRPr="00674B06">
        <w:rPr>
          <w:rFonts w:ascii="Work Sans" w:hAnsi="Work Sans" w:cs="Arial"/>
          <w:sz w:val="24"/>
        </w:rPr>
        <w:t xml:space="preserve"> Logística </w:t>
      </w:r>
      <w:r w:rsidR="00674B06">
        <w:rPr>
          <w:rFonts w:ascii="Work Sans" w:hAnsi="Work Sans" w:cs="Arial"/>
          <w:sz w:val="24"/>
        </w:rPr>
        <w:t>d</w:t>
      </w:r>
      <w:r w:rsidR="00674B06" w:rsidRPr="00674B06">
        <w:rPr>
          <w:rFonts w:ascii="Work Sans" w:hAnsi="Work Sans" w:cs="Arial"/>
          <w:sz w:val="24"/>
        </w:rPr>
        <w:t>e Hidrocarburos</w:t>
      </w:r>
      <w:r w:rsidR="00674B06" w:rsidRPr="00674B06">
        <w:rPr>
          <w:rFonts w:ascii="Work Sans" w:hAnsi="Work Sans" w:cs="Arial"/>
          <w:sz w:val="24"/>
        </w:rPr>
        <w:t xml:space="preserve"> S.A.S y </w:t>
      </w:r>
      <w:r w:rsidR="00674B06" w:rsidRPr="00674B06">
        <w:rPr>
          <w:rFonts w:ascii="Work Sans" w:hAnsi="Work Sans" w:cs="Arial"/>
          <w:sz w:val="24"/>
        </w:rPr>
        <w:t xml:space="preserve">Transportadora </w:t>
      </w:r>
      <w:r w:rsidR="00674B06">
        <w:rPr>
          <w:rFonts w:ascii="Work Sans" w:hAnsi="Work Sans" w:cs="Arial"/>
          <w:sz w:val="24"/>
        </w:rPr>
        <w:t>d</w:t>
      </w:r>
      <w:r w:rsidR="00674B06" w:rsidRPr="00674B06">
        <w:rPr>
          <w:rFonts w:ascii="Work Sans" w:hAnsi="Work Sans" w:cs="Arial"/>
          <w:sz w:val="24"/>
        </w:rPr>
        <w:t xml:space="preserve">e Gas Internacional </w:t>
      </w:r>
      <w:r w:rsidR="00674B06" w:rsidRPr="00674B06">
        <w:rPr>
          <w:rFonts w:ascii="Work Sans" w:hAnsi="Work Sans" w:cs="Arial"/>
          <w:sz w:val="24"/>
        </w:rPr>
        <w:t>S.A. ESP -TGI</w:t>
      </w:r>
      <w:r w:rsidR="00674B06">
        <w:rPr>
          <w:rFonts w:ascii="Work Sans" w:hAnsi="Work Sans" w:cs="Arial"/>
          <w:sz w:val="24"/>
        </w:rPr>
        <w:t xml:space="preserve">, respectivamente. </w:t>
      </w:r>
    </w:p>
    <w:p w14:paraId="47DCFBB0" w14:textId="77777777" w:rsidR="007B696C" w:rsidRDefault="007B696C" w:rsidP="00542DF8">
      <w:pPr>
        <w:spacing w:line="240" w:lineRule="auto"/>
        <w:ind w:right="51"/>
        <w:contextualSpacing/>
        <w:jc w:val="both"/>
        <w:rPr>
          <w:rFonts w:ascii="Work Sans" w:hAnsi="Work Sans" w:cs="Arial"/>
          <w:sz w:val="24"/>
        </w:rPr>
      </w:pPr>
    </w:p>
    <w:p w14:paraId="16A00B3C" w14:textId="5591970E" w:rsidR="007B696C" w:rsidRDefault="007B696C" w:rsidP="00542DF8">
      <w:pPr>
        <w:spacing w:line="240" w:lineRule="auto"/>
        <w:ind w:right="51"/>
        <w:contextualSpacing/>
        <w:jc w:val="both"/>
        <w:rPr>
          <w:rFonts w:ascii="Work Sans" w:hAnsi="Work Sans" w:cs="Arial"/>
          <w:sz w:val="24"/>
        </w:rPr>
      </w:pPr>
      <w:r>
        <w:rPr>
          <w:rFonts w:ascii="Work Sans" w:hAnsi="Work Sans" w:cs="Arial"/>
          <w:sz w:val="24"/>
        </w:rPr>
        <w:t>De igual forma se requiere adelantar la validación de</w:t>
      </w:r>
      <w:r w:rsidRPr="007B696C">
        <w:t xml:space="preserve"> </w:t>
      </w:r>
      <w:r>
        <w:t xml:space="preserve">la </w:t>
      </w:r>
      <w:r w:rsidRPr="007B696C">
        <w:rPr>
          <w:rFonts w:ascii="Work Sans" w:hAnsi="Work Sans" w:cs="Arial"/>
          <w:sz w:val="24"/>
        </w:rPr>
        <w:t>Línea de Extensión 3PA-COMBIA, 13.8 kV</w:t>
      </w:r>
    </w:p>
    <w:p w14:paraId="4E1F9B68" w14:textId="77777777" w:rsidR="007B696C" w:rsidRDefault="007B696C" w:rsidP="00542DF8">
      <w:pPr>
        <w:spacing w:line="240" w:lineRule="auto"/>
        <w:ind w:right="51"/>
        <w:contextualSpacing/>
        <w:jc w:val="both"/>
        <w:rPr>
          <w:rFonts w:ascii="Work Sans" w:hAnsi="Work Sans" w:cs="Arial"/>
          <w:sz w:val="24"/>
        </w:rPr>
      </w:pPr>
    </w:p>
    <w:p w14:paraId="243A0EBD" w14:textId="14DBC4F5" w:rsidR="007B696C" w:rsidRDefault="007B696C" w:rsidP="00542DF8">
      <w:pPr>
        <w:spacing w:line="240" w:lineRule="auto"/>
        <w:ind w:right="51"/>
        <w:contextualSpacing/>
        <w:jc w:val="both"/>
        <w:rPr>
          <w:rFonts w:ascii="Work Sans" w:hAnsi="Work Sans" w:cs="Arial"/>
          <w:sz w:val="24"/>
        </w:rPr>
      </w:pPr>
      <w:r>
        <w:rPr>
          <w:rFonts w:ascii="Work Sans" w:hAnsi="Work Sans" w:cs="Arial"/>
          <w:sz w:val="24"/>
        </w:rPr>
        <w:t xml:space="preserve">l citado proyecto de </w:t>
      </w:r>
      <w:r w:rsidRPr="007B696C">
        <w:rPr>
          <w:rFonts w:ascii="Work Sans" w:hAnsi="Work Sans" w:cs="Arial"/>
          <w:sz w:val="24"/>
        </w:rPr>
        <w:t>proyecto PCH EL PARAISO perteneciente a la SOCIEDAD INMEL INGENIERIA S.A.S</w:t>
      </w:r>
    </w:p>
    <w:p w14:paraId="6DD69FEE" w14:textId="77777777" w:rsidR="00674B06" w:rsidRDefault="00674B06" w:rsidP="00542DF8">
      <w:pPr>
        <w:spacing w:line="240" w:lineRule="auto"/>
        <w:ind w:right="51"/>
        <w:contextualSpacing/>
        <w:jc w:val="both"/>
        <w:rPr>
          <w:rFonts w:ascii="Work Sans" w:hAnsi="Work Sans" w:cs="Arial"/>
          <w:sz w:val="24"/>
        </w:rPr>
      </w:pPr>
    </w:p>
    <w:p w14:paraId="06BF46E4" w14:textId="77777777" w:rsidR="00674B06" w:rsidRDefault="00674B06" w:rsidP="00542DF8">
      <w:pPr>
        <w:spacing w:line="240" w:lineRule="auto"/>
        <w:ind w:right="51"/>
        <w:contextualSpacing/>
        <w:jc w:val="both"/>
        <w:rPr>
          <w:rFonts w:ascii="Work Sans" w:hAnsi="Work Sans" w:cs="Arial"/>
          <w:sz w:val="24"/>
        </w:rPr>
      </w:pPr>
    </w:p>
    <w:p w14:paraId="556456AD" w14:textId="5DC26C3D" w:rsidR="00542DF8" w:rsidRDefault="00542DF8" w:rsidP="00542DF8">
      <w:pPr>
        <w:spacing w:line="240" w:lineRule="auto"/>
        <w:ind w:right="51"/>
        <w:contextualSpacing/>
        <w:jc w:val="both"/>
        <w:rPr>
          <w:rFonts w:ascii="Work Sans" w:hAnsi="Work Sans" w:cs="Arial"/>
          <w:sz w:val="24"/>
        </w:rPr>
      </w:pPr>
      <w:r w:rsidRPr="00542DF8">
        <w:rPr>
          <w:rFonts w:ascii="Work Sans" w:hAnsi="Work Sans" w:cs="Arial"/>
          <w:sz w:val="24"/>
        </w:rPr>
        <w:t xml:space="preserve"> respecto de la infraestructura del poliducto bajo su administración; los predios donde se ubica el trazado de la línea de extensión “3PA - COMBIA 13.8KV”</w:t>
      </w:r>
    </w:p>
    <w:p w14:paraId="04E08EDA" w14:textId="77777777" w:rsidR="00542DF8" w:rsidRDefault="00542DF8" w:rsidP="00542DF8">
      <w:pPr>
        <w:spacing w:line="240" w:lineRule="auto"/>
        <w:ind w:right="51"/>
        <w:contextualSpacing/>
        <w:jc w:val="both"/>
        <w:rPr>
          <w:rFonts w:ascii="Work Sans" w:hAnsi="Work Sans" w:cs="Arial"/>
          <w:sz w:val="24"/>
        </w:rPr>
      </w:pPr>
    </w:p>
    <w:p w14:paraId="4633F6B9" w14:textId="77777777" w:rsidR="00542DF8" w:rsidRDefault="00542DF8" w:rsidP="00542DF8">
      <w:pPr>
        <w:spacing w:line="240" w:lineRule="auto"/>
        <w:ind w:right="51"/>
        <w:contextualSpacing/>
        <w:jc w:val="both"/>
        <w:rPr>
          <w:rFonts w:ascii="Work Sans" w:hAnsi="Work Sans" w:cs="Arial"/>
          <w:sz w:val="24"/>
        </w:rPr>
      </w:pPr>
    </w:p>
    <w:p w14:paraId="6FA27BB2" w14:textId="35D4F7D2" w:rsidR="00693C2B" w:rsidRDefault="00542DF8" w:rsidP="00542DF8">
      <w:pPr>
        <w:spacing w:line="240" w:lineRule="auto"/>
        <w:ind w:right="51"/>
        <w:contextualSpacing/>
        <w:jc w:val="both"/>
        <w:rPr>
          <w:rFonts w:ascii="Work Sans" w:hAnsi="Work Sans" w:cs="Arial"/>
          <w:sz w:val="24"/>
        </w:rPr>
      </w:pPr>
      <w:r>
        <w:rPr>
          <w:rFonts w:ascii="Work Sans" w:hAnsi="Work Sans" w:cs="Arial"/>
          <w:sz w:val="24"/>
        </w:rPr>
        <w:t>con el o</w:t>
      </w:r>
    </w:p>
    <w:p w14:paraId="2AEE2E97" w14:textId="77777777" w:rsidR="00542DF8" w:rsidRDefault="00542DF8" w:rsidP="00693C2B">
      <w:pPr>
        <w:spacing w:line="240" w:lineRule="auto"/>
        <w:ind w:right="51"/>
        <w:contextualSpacing/>
        <w:jc w:val="both"/>
        <w:rPr>
          <w:rFonts w:ascii="Work Sans" w:hAnsi="Work Sans" w:cs="Arial"/>
          <w:sz w:val="24"/>
        </w:rPr>
      </w:pPr>
    </w:p>
    <w:p w14:paraId="14F789B3" w14:textId="77777777" w:rsidR="00542DF8" w:rsidRDefault="00542DF8" w:rsidP="00693C2B">
      <w:pPr>
        <w:spacing w:line="240" w:lineRule="auto"/>
        <w:ind w:right="51"/>
        <w:contextualSpacing/>
        <w:jc w:val="both"/>
        <w:rPr>
          <w:rFonts w:ascii="Work Sans" w:hAnsi="Work Sans" w:cs="Arial"/>
          <w:sz w:val="24"/>
        </w:rPr>
      </w:pPr>
    </w:p>
    <w:p w14:paraId="45917202" w14:textId="77777777" w:rsidR="00542DF8" w:rsidRDefault="00542DF8" w:rsidP="00693C2B">
      <w:pPr>
        <w:spacing w:line="240" w:lineRule="auto"/>
        <w:ind w:right="51"/>
        <w:contextualSpacing/>
        <w:jc w:val="both"/>
        <w:rPr>
          <w:rFonts w:ascii="Work Sans" w:hAnsi="Work Sans" w:cs="Arial"/>
          <w:sz w:val="24"/>
        </w:rPr>
      </w:pPr>
    </w:p>
    <w:p w14:paraId="6F96AB9B" w14:textId="77777777" w:rsidR="00542DF8" w:rsidRPr="00AA416A" w:rsidRDefault="00542DF8" w:rsidP="00693C2B">
      <w:pPr>
        <w:spacing w:line="240" w:lineRule="auto"/>
        <w:ind w:right="51"/>
        <w:contextualSpacing/>
        <w:jc w:val="both"/>
        <w:rPr>
          <w:rFonts w:ascii="Work Sans" w:hAnsi="Work Sans" w:cs="Arial"/>
          <w:sz w:val="24"/>
        </w:rPr>
      </w:pPr>
    </w:p>
    <w:p w14:paraId="6A17B9C2" w14:textId="595D5FFE" w:rsidR="006269D5" w:rsidRPr="006269D5" w:rsidRDefault="0021775D" w:rsidP="006269D5">
      <w:pPr>
        <w:spacing w:after="0" w:line="240" w:lineRule="auto"/>
        <w:ind w:right="51"/>
        <w:contextualSpacing/>
        <w:jc w:val="both"/>
        <w:rPr>
          <w:rFonts w:ascii="Work Sans" w:hAnsi="Work Sans" w:cs="Arial"/>
          <w:sz w:val="24"/>
        </w:rPr>
      </w:pPr>
      <w:r w:rsidRPr="00FA39E8">
        <w:rPr>
          <w:rFonts w:ascii="Work Sans" w:hAnsi="Work Sans" w:cs="Work Sans"/>
          <w:color w:val="000000"/>
          <w:sz w:val="24"/>
          <w:szCs w:val="24"/>
        </w:rPr>
        <w:t xml:space="preserve">En atención a la comunicación </w:t>
      </w:r>
      <w:r w:rsidR="00FA39E8" w:rsidRPr="00FA39E8">
        <w:rPr>
          <w:rFonts w:ascii="Work Sans" w:hAnsi="Work Sans" w:cs="Work Sans"/>
          <w:color w:val="000000"/>
          <w:sz w:val="24"/>
          <w:szCs w:val="24"/>
        </w:rPr>
        <w:t>con radicado</w:t>
      </w:r>
      <w:r w:rsidR="00EC3103">
        <w:rPr>
          <w:rFonts w:ascii="Work Sans" w:hAnsi="Work Sans" w:cs="Work Sans"/>
          <w:color w:val="000000"/>
          <w:sz w:val="24"/>
          <w:szCs w:val="24"/>
        </w:rPr>
        <w:t>s</w:t>
      </w:r>
      <w:r w:rsidR="00FA39E8" w:rsidRPr="00FA39E8">
        <w:rPr>
          <w:rFonts w:ascii="Work Sans" w:hAnsi="Work Sans" w:cs="Work Sans"/>
          <w:color w:val="000000"/>
          <w:sz w:val="24"/>
          <w:szCs w:val="24"/>
        </w:rPr>
        <w:t xml:space="preserve"> </w:t>
      </w:r>
      <w:r w:rsidRPr="00FA39E8">
        <w:rPr>
          <w:rFonts w:ascii="Work Sans" w:hAnsi="Work Sans" w:cs="Work Sans"/>
          <w:color w:val="000000"/>
          <w:sz w:val="24"/>
          <w:szCs w:val="24"/>
        </w:rPr>
        <w:t>núm</w:t>
      </w:r>
      <w:r w:rsidR="00FA39E8" w:rsidRPr="00FA39E8">
        <w:rPr>
          <w:rFonts w:ascii="Work Sans" w:hAnsi="Work Sans" w:cs="Work Sans"/>
          <w:color w:val="000000"/>
          <w:sz w:val="24"/>
          <w:szCs w:val="24"/>
        </w:rPr>
        <w:t>ero</w:t>
      </w:r>
      <w:r w:rsidR="00EC3103">
        <w:rPr>
          <w:rFonts w:ascii="Work Sans" w:hAnsi="Work Sans" w:cs="Work Sans"/>
          <w:color w:val="000000"/>
          <w:sz w:val="24"/>
          <w:szCs w:val="24"/>
        </w:rPr>
        <w:t>s</w:t>
      </w:r>
      <w:r w:rsidRPr="00FA39E8">
        <w:rPr>
          <w:rFonts w:ascii="Work Sans" w:hAnsi="Work Sans" w:cs="Work Sans"/>
          <w:color w:val="000000"/>
          <w:sz w:val="24"/>
          <w:szCs w:val="24"/>
        </w:rPr>
        <w:t xml:space="preserve"> </w:t>
      </w:r>
      <w:r w:rsidR="00FA39E8" w:rsidRPr="00FA39E8">
        <w:rPr>
          <w:rFonts w:ascii="Work Sans" w:hAnsi="Work Sans" w:cs="Work Sans"/>
          <w:color w:val="000000"/>
          <w:sz w:val="24"/>
          <w:szCs w:val="24"/>
        </w:rPr>
        <w:t>1-2026-00</w:t>
      </w:r>
      <w:r w:rsidR="00EC3103">
        <w:rPr>
          <w:rFonts w:ascii="Work Sans" w:hAnsi="Work Sans" w:cs="Work Sans"/>
          <w:color w:val="000000"/>
          <w:sz w:val="24"/>
          <w:szCs w:val="24"/>
        </w:rPr>
        <w:t>9077</w:t>
      </w:r>
      <w:r w:rsidR="00FA39E8">
        <w:rPr>
          <w:rFonts w:ascii="Work Sans" w:hAnsi="Work Sans" w:cs="Work Sans"/>
          <w:color w:val="000000"/>
          <w:sz w:val="24"/>
          <w:szCs w:val="24"/>
        </w:rPr>
        <w:t xml:space="preserve"> </w:t>
      </w:r>
      <w:r w:rsidRPr="00FA39E8">
        <w:rPr>
          <w:rFonts w:ascii="Work Sans" w:hAnsi="Work Sans" w:cs="Work Sans"/>
          <w:color w:val="000000"/>
          <w:sz w:val="24"/>
          <w:szCs w:val="24"/>
        </w:rPr>
        <w:t xml:space="preserve">del </w:t>
      </w:r>
      <w:r w:rsidR="00EC3103">
        <w:rPr>
          <w:rFonts w:ascii="Work Sans" w:hAnsi="Work Sans" w:cs="Work Sans"/>
          <w:color w:val="000000"/>
          <w:sz w:val="24"/>
          <w:szCs w:val="24"/>
        </w:rPr>
        <w:t xml:space="preserve">27 de febrero </w:t>
      </w:r>
      <w:r w:rsidR="00FA39E8">
        <w:rPr>
          <w:rFonts w:ascii="Work Sans" w:hAnsi="Work Sans" w:cs="Work Sans"/>
          <w:color w:val="000000"/>
          <w:sz w:val="24"/>
          <w:szCs w:val="24"/>
        </w:rPr>
        <w:t>06</w:t>
      </w:r>
      <w:r w:rsidRPr="00FA39E8">
        <w:rPr>
          <w:rFonts w:ascii="Work Sans" w:hAnsi="Work Sans" w:cs="Work Sans"/>
          <w:color w:val="000000"/>
          <w:sz w:val="24"/>
          <w:szCs w:val="24"/>
        </w:rPr>
        <w:t xml:space="preserve"> de </w:t>
      </w:r>
      <w:r w:rsidR="00FA39E8">
        <w:rPr>
          <w:rFonts w:ascii="Work Sans" w:hAnsi="Work Sans" w:cs="Work Sans"/>
          <w:color w:val="000000"/>
          <w:sz w:val="24"/>
          <w:szCs w:val="24"/>
        </w:rPr>
        <w:t>febrero</w:t>
      </w:r>
      <w:r w:rsidRPr="00FA39E8">
        <w:rPr>
          <w:rFonts w:ascii="Work Sans" w:hAnsi="Work Sans" w:cs="Work Sans"/>
          <w:color w:val="000000"/>
          <w:sz w:val="24"/>
          <w:szCs w:val="24"/>
        </w:rPr>
        <w:t xml:space="preserve"> de 202</w:t>
      </w:r>
      <w:r w:rsidR="00FA39E8">
        <w:rPr>
          <w:rFonts w:ascii="Work Sans" w:hAnsi="Work Sans" w:cs="Work Sans"/>
          <w:color w:val="000000"/>
          <w:sz w:val="24"/>
          <w:szCs w:val="24"/>
        </w:rPr>
        <w:t>6</w:t>
      </w:r>
      <w:r w:rsidR="00EC3103">
        <w:rPr>
          <w:rFonts w:ascii="Work Sans" w:hAnsi="Work Sans" w:cs="Work Sans"/>
          <w:color w:val="000000"/>
          <w:sz w:val="24"/>
          <w:szCs w:val="24"/>
        </w:rPr>
        <w:t xml:space="preserve"> y 1-2026</w:t>
      </w:r>
      <w:r w:rsidR="00A20F47">
        <w:rPr>
          <w:rFonts w:ascii="Work Sans" w:hAnsi="Work Sans" w:cs="Work Sans"/>
          <w:color w:val="000000"/>
          <w:sz w:val="24"/>
          <w:szCs w:val="24"/>
        </w:rPr>
        <w:t>-</w:t>
      </w:r>
      <w:r w:rsidR="00EC3103">
        <w:rPr>
          <w:rFonts w:ascii="Work Sans" w:hAnsi="Work Sans" w:cs="Work Sans"/>
          <w:color w:val="000000"/>
          <w:sz w:val="24"/>
          <w:szCs w:val="24"/>
        </w:rPr>
        <w:t>012837 del 19 de marzo del presente año</w:t>
      </w:r>
      <w:r w:rsidRPr="00FA39E8">
        <w:rPr>
          <w:rFonts w:ascii="Work Sans" w:hAnsi="Work Sans" w:cs="Work Sans"/>
          <w:color w:val="000000"/>
          <w:sz w:val="24"/>
          <w:szCs w:val="24"/>
        </w:rPr>
        <w:t xml:space="preserve">, </w:t>
      </w:r>
      <w:r w:rsidR="004D30BA">
        <w:rPr>
          <w:rFonts w:ascii="Work Sans" w:hAnsi="Work Sans" w:cs="Work Sans"/>
          <w:color w:val="000000"/>
          <w:sz w:val="24"/>
          <w:szCs w:val="24"/>
        </w:rPr>
        <w:t xml:space="preserve">el señor </w:t>
      </w:r>
      <w:r w:rsidR="004D30BA" w:rsidRPr="004D30BA">
        <w:rPr>
          <w:rFonts w:ascii="Work Sans" w:hAnsi="Work Sans" w:cs="Work Sans"/>
          <w:color w:val="000000"/>
          <w:sz w:val="24"/>
          <w:szCs w:val="24"/>
        </w:rPr>
        <w:t>John Daveid López Parra</w:t>
      </w:r>
      <w:r w:rsidR="004D30BA">
        <w:rPr>
          <w:rFonts w:ascii="Work Sans" w:hAnsi="Work Sans" w:cs="Work Sans"/>
          <w:color w:val="000000"/>
          <w:sz w:val="24"/>
          <w:szCs w:val="24"/>
        </w:rPr>
        <w:t xml:space="preserve"> en su calidad de </w:t>
      </w:r>
      <w:r w:rsidR="004D30BA" w:rsidRPr="004D30BA">
        <w:rPr>
          <w:rFonts w:ascii="Work Sans" w:hAnsi="Work Sans" w:cs="Work Sans"/>
          <w:color w:val="000000"/>
          <w:sz w:val="24"/>
          <w:szCs w:val="24"/>
        </w:rPr>
        <w:t>Representante Legal de SUNCOLOMBIA S.A.S</w:t>
      </w:r>
      <w:r w:rsidR="004D30BA">
        <w:rPr>
          <w:rFonts w:ascii="Work Sans" w:hAnsi="Work Sans" w:cs="Work Sans"/>
          <w:color w:val="000000"/>
          <w:sz w:val="24"/>
          <w:szCs w:val="24"/>
        </w:rPr>
        <w:t xml:space="preserve">., </w:t>
      </w:r>
      <w:r w:rsidR="004D30BA" w:rsidRPr="004D30BA">
        <w:rPr>
          <w:rFonts w:ascii="Work Sans" w:hAnsi="Work Sans" w:cs="Work Sans"/>
          <w:color w:val="000000"/>
          <w:sz w:val="24"/>
          <w:szCs w:val="24"/>
        </w:rPr>
        <w:t xml:space="preserve">solicita emitir </w:t>
      </w:r>
      <w:r w:rsidR="003B36C7">
        <w:rPr>
          <w:rFonts w:ascii="Work Sans" w:hAnsi="Work Sans" w:cs="Work Sans"/>
          <w:color w:val="000000"/>
          <w:sz w:val="24"/>
          <w:szCs w:val="24"/>
        </w:rPr>
        <w:t xml:space="preserve">por parte de esta entidad </w:t>
      </w:r>
      <w:r w:rsidR="004D30BA" w:rsidRPr="004D30BA">
        <w:rPr>
          <w:rFonts w:ascii="Work Sans" w:hAnsi="Work Sans" w:cs="Work Sans"/>
          <w:color w:val="000000"/>
          <w:sz w:val="24"/>
          <w:szCs w:val="24"/>
        </w:rPr>
        <w:t>la confirmación oficial de compatibilidad técnica, operativa y normativa del citado proyecto respecto de la infraestructura del poliducto bajo su administración; los predios donde se ubica el trazado de la línea de extensión “3PA - COMBIA 13.8KV”</w:t>
      </w:r>
      <w:r w:rsidR="006269D5">
        <w:rPr>
          <w:rFonts w:ascii="Work Sans" w:hAnsi="Work Sans" w:cs="Work Sans"/>
          <w:color w:val="000000"/>
          <w:sz w:val="24"/>
          <w:szCs w:val="24"/>
        </w:rPr>
        <w:t xml:space="preserve">, </w:t>
      </w:r>
      <w:r w:rsidR="006269D5" w:rsidRPr="006269D5">
        <w:rPr>
          <w:rFonts w:ascii="Work Sans" w:hAnsi="Work Sans" w:cs="Arial"/>
          <w:sz w:val="24"/>
        </w:rPr>
        <w:t>este Ministerio se permite emitir el siguiente pronunciamiento de fondo:</w:t>
      </w:r>
    </w:p>
    <w:p w14:paraId="2B3E3506" w14:textId="77777777" w:rsidR="006269D5" w:rsidRPr="006269D5" w:rsidRDefault="006269D5" w:rsidP="006269D5">
      <w:pPr>
        <w:spacing w:line="240" w:lineRule="auto"/>
        <w:ind w:right="51"/>
        <w:contextualSpacing/>
        <w:jc w:val="both"/>
        <w:rPr>
          <w:rFonts w:ascii="Work Sans" w:hAnsi="Work Sans" w:cs="Arial"/>
          <w:sz w:val="24"/>
        </w:rPr>
      </w:pPr>
    </w:p>
    <w:p w14:paraId="0C84F017" w14:textId="5E4CAE91" w:rsidR="006269D5" w:rsidRPr="006269D5" w:rsidRDefault="006269D5" w:rsidP="00A20CED">
      <w:pPr>
        <w:pStyle w:val="Prrafodelista"/>
        <w:numPr>
          <w:ilvl w:val="0"/>
          <w:numId w:val="9"/>
        </w:numPr>
        <w:spacing w:line="240" w:lineRule="auto"/>
        <w:ind w:left="284" w:right="51" w:hanging="284"/>
        <w:jc w:val="both"/>
        <w:rPr>
          <w:rFonts w:ascii="Work Sans" w:hAnsi="Work Sans" w:cs="Arial"/>
          <w:b/>
          <w:bCs/>
          <w:sz w:val="24"/>
        </w:rPr>
      </w:pPr>
      <w:r w:rsidRPr="006269D5">
        <w:rPr>
          <w:rFonts w:ascii="Work Sans" w:hAnsi="Work Sans" w:cs="Arial"/>
          <w:b/>
          <w:bCs/>
          <w:sz w:val="24"/>
        </w:rPr>
        <w:t>Verificación del marco normativo aplicable</w:t>
      </w:r>
    </w:p>
    <w:p w14:paraId="62FB4BB7" w14:textId="77777777" w:rsidR="006269D5" w:rsidRPr="006269D5" w:rsidRDefault="006269D5" w:rsidP="006269D5">
      <w:pPr>
        <w:spacing w:line="240" w:lineRule="auto"/>
        <w:ind w:right="51"/>
        <w:contextualSpacing/>
        <w:jc w:val="both"/>
        <w:rPr>
          <w:rFonts w:ascii="Work Sans" w:hAnsi="Work Sans" w:cs="Arial"/>
          <w:sz w:val="24"/>
        </w:rPr>
      </w:pPr>
      <w:r w:rsidRPr="006269D5">
        <w:rPr>
          <w:rFonts w:ascii="Work Sans" w:hAnsi="Work Sans" w:cs="Arial"/>
          <w:sz w:val="24"/>
        </w:rPr>
        <w:t>El análisis se efectuó a la luz de los lineamientos vigentes del Sector Minero‑Energético, en especial los establecidos en la Resolución MME 40303 de 2022, modificada y actualizada por la Resolución MME 40358 de 2025, acto administrativo que define los criterios objetivos para la identificación de superposiciones, la evaluación de conflictos de coexistencia y la procedencia de acuerdos operacionales entre proyectos del sector.</w:t>
      </w:r>
    </w:p>
    <w:p w14:paraId="5D948F82" w14:textId="77777777" w:rsidR="006269D5" w:rsidRPr="006269D5" w:rsidRDefault="006269D5" w:rsidP="006269D5">
      <w:pPr>
        <w:spacing w:line="240" w:lineRule="auto"/>
        <w:ind w:right="51"/>
        <w:contextualSpacing/>
        <w:jc w:val="both"/>
        <w:rPr>
          <w:rFonts w:ascii="Work Sans" w:hAnsi="Work Sans" w:cs="Arial"/>
          <w:sz w:val="24"/>
        </w:rPr>
      </w:pPr>
    </w:p>
    <w:p w14:paraId="27525AE0" w14:textId="77777777" w:rsidR="006269D5" w:rsidRPr="006269D5" w:rsidRDefault="006269D5" w:rsidP="006269D5">
      <w:pPr>
        <w:spacing w:line="240" w:lineRule="auto"/>
        <w:ind w:right="51"/>
        <w:contextualSpacing/>
        <w:jc w:val="both"/>
        <w:rPr>
          <w:rFonts w:ascii="Work Sans" w:hAnsi="Work Sans" w:cs="Arial"/>
          <w:sz w:val="24"/>
        </w:rPr>
      </w:pPr>
      <w:r w:rsidRPr="006269D5">
        <w:rPr>
          <w:rFonts w:ascii="Work Sans" w:hAnsi="Work Sans" w:cs="Arial"/>
          <w:sz w:val="24"/>
        </w:rPr>
        <w:t>De conformidad con dicha normativa, la existencia de una superposición de áreas no constituye, por sí misma, una incompatibilidad normativa, siendo determinante la verificación de:</w:t>
      </w:r>
    </w:p>
    <w:p w14:paraId="1D750564" w14:textId="77777777" w:rsidR="006269D5" w:rsidRPr="006269D5" w:rsidRDefault="006269D5" w:rsidP="006269D5">
      <w:pPr>
        <w:spacing w:line="240" w:lineRule="auto"/>
        <w:ind w:right="51"/>
        <w:contextualSpacing/>
        <w:jc w:val="both"/>
        <w:rPr>
          <w:rFonts w:ascii="Work Sans" w:hAnsi="Work Sans" w:cs="Arial"/>
          <w:sz w:val="24"/>
        </w:rPr>
      </w:pPr>
    </w:p>
    <w:p w14:paraId="2D5C81C8" w14:textId="13D11292" w:rsidR="006269D5" w:rsidRDefault="006269D5" w:rsidP="003B36C7">
      <w:pPr>
        <w:pStyle w:val="Prrafodelista"/>
        <w:numPr>
          <w:ilvl w:val="0"/>
          <w:numId w:val="10"/>
        </w:numPr>
        <w:spacing w:after="0" w:line="240" w:lineRule="auto"/>
        <w:ind w:left="425" w:right="51" w:hanging="357"/>
        <w:jc w:val="both"/>
        <w:rPr>
          <w:rFonts w:ascii="Work Sans" w:hAnsi="Work Sans" w:cs="Arial"/>
          <w:sz w:val="24"/>
        </w:rPr>
      </w:pPr>
      <w:r w:rsidRPr="003B36C7">
        <w:rPr>
          <w:rFonts w:ascii="Work Sans" w:hAnsi="Work Sans" w:cs="Arial"/>
          <w:sz w:val="24"/>
        </w:rPr>
        <w:t>Interferencia directa con infraestructura específica existente o planificada</w:t>
      </w:r>
    </w:p>
    <w:p w14:paraId="56C21D64" w14:textId="77777777" w:rsidR="003B36C7" w:rsidRPr="003B36C7" w:rsidRDefault="003B36C7" w:rsidP="003B36C7">
      <w:pPr>
        <w:spacing w:after="0" w:line="240" w:lineRule="auto"/>
        <w:ind w:right="51"/>
        <w:jc w:val="both"/>
        <w:rPr>
          <w:rFonts w:ascii="Work Sans" w:hAnsi="Work Sans" w:cs="Arial"/>
          <w:sz w:val="24"/>
        </w:rPr>
      </w:pPr>
    </w:p>
    <w:p w14:paraId="50EB8ED3" w14:textId="6C9DF71F" w:rsidR="006269D5" w:rsidRDefault="006269D5" w:rsidP="003B36C7">
      <w:pPr>
        <w:pStyle w:val="Prrafodelista"/>
        <w:numPr>
          <w:ilvl w:val="0"/>
          <w:numId w:val="10"/>
        </w:numPr>
        <w:spacing w:after="0" w:line="240" w:lineRule="auto"/>
        <w:ind w:left="425" w:right="51" w:hanging="357"/>
        <w:jc w:val="both"/>
        <w:rPr>
          <w:rFonts w:ascii="Work Sans" w:hAnsi="Work Sans" w:cs="Arial"/>
          <w:sz w:val="24"/>
        </w:rPr>
      </w:pPr>
      <w:r w:rsidRPr="003B36C7">
        <w:rPr>
          <w:rFonts w:ascii="Work Sans" w:hAnsi="Work Sans" w:cs="Arial"/>
          <w:sz w:val="24"/>
        </w:rPr>
        <w:t>Afectación de condiciones técnicas, operativas, de seguridad o socioambientales</w:t>
      </w:r>
    </w:p>
    <w:p w14:paraId="3FFA2075" w14:textId="77777777" w:rsidR="003B36C7" w:rsidRPr="003B36C7" w:rsidRDefault="003B36C7" w:rsidP="003B36C7">
      <w:pPr>
        <w:pStyle w:val="Prrafodelista"/>
        <w:rPr>
          <w:rFonts w:ascii="Work Sans" w:hAnsi="Work Sans" w:cs="Arial"/>
          <w:sz w:val="24"/>
        </w:rPr>
      </w:pPr>
    </w:p>
    <w:p w14:paraId="77D32531" w14:textId="48E86DAD" w:rsidR="006269D5" w:rsidRPr="003B36C7" w:rsidRDefault="006269D5" w:rsidP="003B36C7">
      <w:pPr>
        <w:pStyle w:val="Prrafodelista"/>
        <w:numPr>
          <w:ilvl w:val="0"/>
          <w:numId w:val="10"/>
        </w:numPr>
        <w:spacing w:after="0" w:line="240" w:lineRule="auto"/>
        <w:ind w:left="425" w:right="51" w:hanging="357"/>
        <w:jc w:val="both"/>
        <w:rPr>
          <w:rFonts w:ascii="Work Sans" w:hAnsi="Work Sans" w:cs="Arial"/>
          <w:sz w:val="24"/>
        </w:rPr>
      </w:pPr>
      <w:r w:rsidRPr="003B36C7">
        <w:rPr>
          <w:rFonts w:ascii="Work Sans" w:hAnsi="Work Sans" w:cs="Arial"/>
          <w:sz w:val="24"/>
        </w:rPr>
        <w:t>Sustentación técnica debidamente soportada que demuestre la imposibilidad de coexistencia.</w:t>
      </w:r>
    </w:p>
    <w:p w14:paraId="17C45ABF" w14:textId="77777777" w:rsidR="006269D5" w:rsidRPr="006269D5" w:rsidRDefault="006269D5" w:rsidP="006269D5">
      <w:pPr>
        <w:spacing w:line="240" w:lineRule="auto"/>
        <w:ind w:right="51"/>
        <w:contextualSpacing/>
        <w:jc w:val="both"/>
        <w:rPr>
          <w:rFonts w:ascii="Work Sans" w:hAnsi="Work Sans" w:cs="Arial"/>
          <w:sz w:val="24"/>
        </w:rPr>
      </w:pPr>
    </w:p>
    <w:p w14:paraId="7A46C242" w14:textId="7C27ECA7" w:rsidR="006269D5" w:rsidRPr="006269D5" w:rsidRDefault="006269D5" w:rsidP="00A20CED">
      <w:pPr>
        <w:pStyle w:val="Prrafodelista"/>
        <w:numPr>
          <w:ilvl w:val="0"/>
          <w:numId w:val="9"/>
        </w:numPr>
        <w:spacing w:line="240" w:lineRule="auto"/>
        <w:ind w:left="284" w:right="51" w:hanging="284"/>
        <w:jc w:val="both"/>
        <w:rPr>
          <w:rFonts w:ascii="Work Sans" w:hAnsi="Work Sans" w:cs="Arial"/>
          <w:b/>
          <w:bCs/>
          <w:sz w:val="24"/>
        </w:rPr>
      </w:pPr>
      <w:r w:rsidRPr="006269D5">
        <w:rPr>
          <w:rFonts w:ascii="Work Sans" w:hAnsi="Work Sans" w:cs="Arial"/>
          <w:b/>
          <w:bCs/>
          <w:sz w:val="24"/>
        </w:rPr>
        <w:t>Evaluación técnica del trazado y de la infraestructura proyectada</w:t>
      </w:r>
    </w:p>
    <w:p w14:paraId="079748C1" w14:textId="61E021CE" w:rsidR="006269D5" w:rsidRPr="006269D5" w:rsidRDefault="006269D5" w:rsidP="006269D5">
      <w:pPr>
        <w:spacing w:line="240" w:lineRule="auto"/>
        <w:ind w:right="51"/>
        <w:contextualSpacing/>
        <w:jc w:val="both"/>
        <w:rPr>
          <w:rFonts w:ascii="Work Sans" w:hAnsi="Work Sans" w:cs="Arial"/>
          <w:sz w:val="24"/>
        </w:rPr>
      </w:pPr>
      <w:r w:rsidRPr="006269D5">
        <w:rPr>
          <w:rFonts w:ascii="Work Sans" w:hAnsi="Work Sans" w:cs="Arial"/>
          <w:sz w:val="24"/>
        </w:rPr>
        <w:lastRenderedPageBreak/>
        <w:t>Con base en la documentación presentada, el proyecto consiste en una línea aérea de media tensión de 13,8 kV, con una longitud aproximada de 3,2 km, que combina tramos nuevos y repotenciación de activos existentes, diseñada conforme a los estándares técnicos aplicables al sistema de distribución eléctrica, así como a las disposiciones del RETIE</w:t>
      </w:r>
      <w:r w:rsidR="00666DC1">
        <w:rPr>
          <w:rStyle w:val="Refdenotaalpie"/>
          <w:rFonts w:ascii="Work Sans" w:hAnsi="Work Sans" w:cs="Arial"/>
          <w:sz w:val="24"/>
        </w:rPr>
        <w:footnoteReference w:id="1"/>
      </w:r>
      <w:r w:rsidRPr="006269D5">
        <w:rPr>
          <w:rFonts w:ascii="Work Sans" w:hAnsi="Work Sans" w:cs="Arial"/>
          <w:sz w:val="24"/>
        </w:rPr>
        <w:t xml:space="preserve"> y la NTC 2050</w:t>
      </w:r>
      <w:r w:rsidR="00666DC1">
        <w:rPr>
          <w:rFonts w:ascii="Work Sans" w:hAnsi="Work Sans" w:cs="Arial"/>
          <w:sz w:val="24"/>
        </w:rPr>
        <w:t xml:space="preserve"> </w:t>
      </w:r>
      <w:r w:rsidR="00666DC1" w:rsidRPr="00666DC1">
        <w:rPr>
          <w:rFonts w:ascii="Work Sans" w:hAnsi="Work Sans" w:cs="Arial"/>
          <w:sz w:val="24"/>
        </w:rPr>
        <w:t>Código Eléctrico Colombiano</w:t>
      </w:r>
      <w:r w:rsidRPr="006269D5">
        <w:rPr>
          <w:rFonts w:ascii="Work Sans" w:hAnsi="Work Sans" w:cs="Arial"/>
          <w:sz w:val="24"/>
        </w:rPr>
        <w:t>.</w:t>
      </w:r>
    </w:p>
    <w:p w14:paraId="51CEC172" w14:textId="77777777" w:rsidR="006269D5" w:rsidRPr="006269D5" w:rsidRDefault="006269D5" w:rsidP="006269D5">
      <w:pPr>
        <w:spacing w:line="240" w:lineRule="auto"/>
        <w:ind w:right="51"/>
        <w:contextualSpacing/>
        <w:jc w:val="both"/>
        <w:rPr>
          <w:rFonts w:ascii="Work Sans" w:hAnsi="Work Sans" w:cs="Arial"/>
          <w:sz w:val="24"/>
        </w:rPr>
      </w:pPr>
    </w:p>
    <w:p w14:paraId="03E00823" w14:textId="77777777" w:rsidR="006269D5" w:rsidRPr="006269D5" w:rsidRDefault="006269D5" w:rsidP="006269D5">
      <w:pPr>
        <w:spacing w:line="240" w:lineRule="auto"/>
        <w:ind w:right="51"/>
        <w:contextualSpacing/>
        <w:jc w:val="both"/>
        <w:rPr>
          <w:rFonts w:ascii="Work Sans" w:hAnsi="Work Sans" w:cs="Arial"/>
          <w:sz w:val="24"/>
        </w:rPr>
      </w:pPr>
      <w:r w:rsidRPr="006269D5">
        <w:rPr>
          <w:rFonts w:ascii="Work Sans" w:hAnsi="Work Sans" w:cs="Arial"/>
          <w:sz w:val="24"/>
        </w:rPr>
        <w:t>El análisis cartográfico y espacial evidencia que:</w:t>
      </w:r>
    </w:p>
    <w:p w14:paraId="022868ED" w14:textId="62D84496" w:rsidR="006269D5" w:rsidRPr="00A20CED" w:rsidRDefault="006269D5" w:rsidP="00A20CED">
      <w:pPr>
        <w:pStyle w:val="Prrafodelista"/>
        <w:numPr>
          <w:ilvl w:val="0"/>
          <w:numId w:val="11"/>
        </w:numPr>
        <w:spacing w:after="0" w:line="240" w:lineRule="auto"/>
        <w:ind w:left="425" w:right="51"/>
        <w:jc w:val="both"/>
        <w:rPr>
          <w:rFonts w:ascii="Work Sans" w:hAnsi="Work Sans" w:cs="Arial"/>
          <w:sz w:val="24"/>
        </w:rPr>
      </w:pPr>
      <w:r w:rsidRPr="00A20CED">
        <w:rPr>
          <w:rFonts w:ascii="Work Sans" w:hAnsi="Work Sans" w:cs="Arial"/>
          <w:sz w:val="24"/>
        </w:rPr>
        <w:t>El cruce identificado con infraestructura de transporte de hidrocarburos corresponde exclusivamente a un traslape aéreo, sin instalación de apoyos, excavaciones ni intervenciones físicas sobre la franja del poliducto.</w:t>
      </w:r>
    </w:p>
    <w:p w14:paraId="1DCC2A34" w14:textId="77777777" w:rsidR="006269D5" w:rsidRPr="006269D5" w:rsidRDefault="006269D5" w:rsidP="00A20CED">
      <w:pPr>
        <w:spacing w:after="0" w:line="240" w:lineRule="auto"/>
        <w:ind w:left="425" w:right="51"/>
        <w:contextualSpacing/>
        <w:jc w:val="both"/>
        <w:rPr>
          <w:rFonts w:ascii="Work Sans" w:hAnsi="Work Sans" w:cs="Arial"/>
          <w:sz w:val="24"/>
        </w:rPr>
      </w:pPr>
    </w:p>
    <w:p w14:paraId="634E05B7" w14:textId="3C7BBC19" w:rsidR="006269D5" w:rsidRPr="00A20CED" w:rsidRDefault="006269D5" w:rsidP="00A20CED">
      <w:pPr>
        <w:pStyle w:val="Prrafodelista"/>
        <w:numPr>
          <w:ilvl w:val="0"/>
          <w:numId w:val="11"/>
        </w:numPr>
        <w:spacing w:after="0" w:line="240" w:lineRule="auto"/>
        <w:ind w:left="425" w:right="51"/>
        <w:jc w:val="both"/>
        <w:rPr>
          <w:rFonts w:ascii="Work Sans" w:hAnsi="Work Sans" w:cs="Arial"/>
          <w:sz w:val="24"/>
        </w:rPr>
      </w:pPr>
      <w:r w:rsidRPr="00A20CED">
        <w:rPr>
          <w:rFonts w:ascii="Work Sans" w:hAnsi="Work Sans" w:cs="Arial"/>
          <w:sz w:val="24"/>
        </w:rPr>
        <w:t>Se mantienen distancias verticales y horizontales suficientes, en cumplimiento de los parámetros técnicos exigidos por la regulación eléctrica y por las guías sectoriales de coexistencia.</w:t>
      </w:r>
    </w:p>
    <w:p w14:paraId="71EBCF30" w14:textId="77777777" w:rsidR="006269D5" w:rsidRPr="006269D5" w:rsidRDefault="006269D5" w:rsidP="00A20CED">
      <w:pPr>
        <w:spacing w:after="0" w:line="240" w:lineRule="auto"/>
        <w:ind w:left="425" w:right="51"/>
        <w:contextualSpacing/>
        <w:jc w:val="both"/>
        <w:rPr>
          <w:rFonts w:ascii="Work Sans" w:hAnsi="Work Sans" w:cs="Arial"/>
          <w:sz w:val="24"/>
        </w:rPr>
      </w:pPr>
    </w:p>
    <w:p w14:paraId="433E3179" w14:textId="68E45D12" w:rsidR="006269D5" w:rsidRDefault="006269D5" w:rsidP="00A20CED">
      <w:pPr>
        <w:pStyle w:val="Prrafodelista"/>
        <w:numPr>
          <w:ilvl w:val="0"/>
          <w:numId w:val="11"/>
        </w:numPr>
        <w:spacing w:after="0" w:line="240" w:lineRule="auto"/>
        <w:ind w:left="425" w:right="51"/>
        <w:jc w:val="both"/>
        <w:rPr>
          <w:rFonts w:ascii="Work Sans" w:hAnsi="Work Sans" w:cs="Arial"/>
          <w:sz w:val="24"/>
        </w:rPr>
      </w:pPr>
      <w:r w:rsidRPr="00A20CED">
        <w:rPr>
          <w:rFonts w:ascii="Work Sans" w:hAnsi="Work Sans" w:cs="Arial"/>
          <w:sz w:val="24"/>
        </w:rPr>
        <w:t>El cruce es de carácter puntual, perpendicular y aéreo, lo cual reduce de manera significativa cualquier riesgo de acoplamiento o interferencia electromagnética.</w:t>
      </w:r>
    </w:p>
    <w:p w14:paraId="162BB427" w14:textId="77777777" w:rsidR="00A20CED" w:rsidRPr="00A20CED" w:rsidRDefault="00A20CED" w:rsidP="00A20CED">
      <w:pPr>
        <w:pStyle w:val="Prrafodelista"/>
        <w:rPr>
          <w:rFonts w:ascii="Work Sans" w:hAnsi="Work Sans" w:cs="Arial"/>
          <w:sz w:val="24"/>
        </w:rPr>
      </w:pPr>
    </w:p>
    <w:p w14:paraId="6C5D91E0" w14:textId="4C5D78A1" w:rsidR="006269D5" w:rsidRPr="00A20CED" w:rsidRDefault="006269D5" w:rsidP="00A20CED">
      <w:pPr>
        <w:pStyle w:val="Prrafodelista"/>
        <w:numPr>
          <w:ilvl w:val="0"/>
          <w:numId w:val="9"/>
        </w:numPr>
        <w:spacing w:line="240" w:lineRule="auto"/>
        <w:ind w:left="284" w:right="51" w:hanging="284"/>
        <w:jc w:val="both"/>
        <w:rPr>
          <w:rFonts w:ascii="Work Sans" w:hAnsi="Work Sans" w:cs="Arial"/>
          <w:b/>
          <w:bCs/>
          <w:sz w:val="24"/>
        </w:rPr>
      </w:pPr>
      <w:r w:rsidRPr="00A20CED">
        <w:rPr>
          <w:rFonts w:ascii="Work Sans" w:hAnsi="Work Sans" w:cs="Arial"/>
          <w:b/>
          <w:bCs/>
          <w:sz w:val="24"/>
        </w:rPr>
        <w:t>Ausencia de interferencia con infraestructura específica existente</w:t>
      </w:r>
    </w:p>
    <w:p w14:paraId="526B3A65" w14:textId="50549F08" w:rsidR="006269D5" w:rsidRPr="006269D5" w:rsidRDefault="006269D5" w:rsidP="006269D5">
      <w:pPr>
        <w:spacing w:line="240" w:lineRule="auto"/>
        <w:ind w:right="51"/>
        <w:contextualSpacing/>
        <w:jc w:val="both"/>
        <w:rPr>
          <w:rFonts w:ascii="Work Sans" w:hAnsi="Work Sans" w:cs="Arial"/>
          <w:sz w:val="24"/>
        </w:rPr>
      </w:pPr>
      <w:r w:rsidRPr="006269D5">
        <w:rPr>
          <w:rFonts w:ascii="Work Sans" w:hAnsi="Work Sans" w:cs="Arial"/>
          <w:sz w:val="24"/>
        </w:rPr>
        <w:t>Del estudio técnico aportado se desprende que no existe traslape ni interferencia directa con infraestructura específica existente o planificada, ni respecto del poliducto ni frente al proyecto PCH El Paraíso, circunstancia que resulta jurídicamente relevante a la luz de lo dispuesto en el artículo 16A de la Resolución 40358 de 2025, el cual establece que, en ausencia de dicha interferencia, no se configura una incompatibilidad que impida el desarrollo del proyecto entrante</w:t>
      </w:r>
      <w:r w:rsidR="00A20CED">
        <w:rPr>
          <w:rFonts w:ascii="Work Sans" w:hAnsi="Work Sans" w:cs="Arial"/>
          <w:sz w:val="24"/>
        </w:rPr>
        <w:t>.</w:t>
      </w:r>
    </w:p>
    <w:p w14:paraId="76AC1366" w14:textId="2E206185" w:rsidR="006269D5" w:rsidRPr="00A20CED" w:rsidRDefault="006269D5" w:rsidP="006269D5">
      <w:pPr>
        <w:spacing w:line="240" w:lineRule="auto"/>
        <w:ind w:right="51"/>
        <w:contextualSpacing/>
        <w:jc w:val="both"/>
        <w:rPr>
          <w:rFonts w:ascii="Work Sans" w:hAnsi="Work Sans" w:cs="Arial"/>
          <w:b/>
          <w:bCs/>
          <w:sz w:val="24"/>
        </w:rPr>
      </w:pPr>
    </w:p>
    <w:p w14:paraId="41FC94F0" w14:textId="47520279" w:rsidR="006269D5" w:rsidRPr="00A20CED" w:rsidRDefault="00A20CED" w:rsidP="00A20CED">
      <w:pPr>
        <w:pStyle w:val="Prrafodelista"/>
        <w:numPr>
          <w:ilvl w:val="0"/>
          <w:numId w:val="9"/>
        </w:numPr>
        <w:spacing w:line="240" w:lineRule="auto"/>
        <w:ind w:left="284" w:right="51" w:hanging="284"/>
        <w:jc w:val="both"/>
        <w:rPr>
          <w:rFonts w:ascii="Work Sans" w:hAnsi="Work Sans" w:cs="Arial"/>
          <w:b/>
          <w:bCs/>
          <w:sz w:val="24"/>
        </w:rPr>
      </w:pPr>
      <w:r w:rsidRPr="00A20CED">
        <w:rPr>
          <w:rFonts w:ascii="Work Sans" w:hAnsi="Work Sans" w:cs="Arial"/>
          <w:b/>
          <w:bCs/>
          <w:sz w:val="24"/>
        </w:rPr>
        <w:t xml:space="preserve"> </w:t>
      </w:r>
      <w:r w:rsidR="006269D5" w:rsidRPr="00A20CED">
        <w:rPr>
          <w:rFonts w:ascii="Work Sans" w:hAnsi="Work Sans" w:cs="Arial"/>
          <w:b/>
          <w:bCs/>
          <w:sz w:val="24"/>
        </w:rPr>
        <w:t>Evaluación operativa y de seguridad</w:t>
      </w:r>
    </w:p>
    <w:p w14:paraId="2D32372E" w14:textId="065FB522" w:rsidR="006269D5" w:rsidRDefault="006269D5" w:rsidP="006269D5">
      <w:pPr>
        <w:spacing w:line="240" w:lineRule="auto"/>
        <w:ind w:right="51"/>
        <w:contextualSpacing/>
        <w:jc w:val="both"/>
        <w:rPr>
          <w:rFonts w:ascii="Work Sans" w:hAnsi="Work Sans" w:cs="Arial"/>
          <w:sz w:val="24"/>
        </w:rPr>
      </w:pPr>
      <w:r w:rsidRPr="006269D5">
        <w:rPr>
          <w:rFonts w:ascii="Work Sans" w:hAnsi="Work Sans" w:cs="Arial"/>
          <w:sz w:val="24"/>
        </w:rPr>
        <w:t>Desde el punto de vista operativo, e</w:t>
      </w:r>
      <w:r w:rsidR="00A20CED">
        <w:rPr>
          <w:rFonts w:ascii="Work Sans" w:hAnsi="Work Sans" w:cs="Arial"/>
          <w:sz w:val="24"/>
        </w:rPr>
        <w:t xml:space="preserve">n el </w:t>
      </w:r>
      <w:r w:rsidRPr="006269D5">
        <w:rPr>
          <w:rFonts w:ascii="Work Sans" w:hAnsi="Work Sans" w:cs="Arial"/>
          <w:sz w:val="24"/>
        </w:rPr>
        <w:t xml:space="preserve">proyecto </w:t>
      </w:r>
      <w:r w:rsidR="00A20CED">
        <w:rPr>
          <w:rFonts w:ascii="Work Sans" w:hAnsi="Work Sans" w:cs="Arial"/>
          <w:sz w:val="24"/>
        </w:rPr>
        <w:t>se observa que la</w:t>
      </w:r>
      <w:r w:rsidRPr="006269D5">
        <w:rPr>
          <w:rFonts w:ascii="Work Sans" w:hAnsi="Work Sans" w:cs="Arial"/>
          <w:sz w:val="24"/>
        </w:rPr>
        <w:t xml:space="preserve"> continuidad ni la seguridad del transporte de hidrocarburos</w:t>
      </w:r>
      <w:r w:rsidR="00A20CED">
        <w:rPr>
          <w:rFonts w:ascii="Work Sans" w:hAnsi="Work Sans" w:cs="Arial"/>
          <w:sz w:val="24"/>
        </w:rPr>
        <w:t>, l</w:t>
      </w:r>
      <w:r w:rsidRPr="006269D5">
        <w:rPr>
          <w:rFonts w:ascii="Work Sans" w:hAnsi="Work Sans" w:cs="Arial"/>
          <w:sz w:val="24"/>
        </w:rPr>
        <w:t xml:space="preserve">os esquemas de protección </w:t>
      </w:r>
      <w:r w:rsidRPr="006269D5">
        <w:rPr>
          <w:rFonts w:ascii="Work Sans" w:hAnsi="Work Sans" w:cs="Arial"/>
          <w:sz w:val="24"/>
        </w:rPr>
        <w:lastRenderedPageBreak/>
        <w:t>catódica existentes</w:t>
      </w:r>
      <w:r w:rsidR="00A20CED">
        <w:rPr>
          <w:rFonts w:ascii="Work Sans" w:hAnsi="Work Sans" w:cs="Arial"/>
          <w:sz w:val="24"/>
        </w:rPr>
        <w:t>, l</w:t>
      </w:r>
      <w:r w:rsidRPr="006269D5">
        <w:rPr>
          <w:rFonts w:ascii="Work Sans" w:hAnsi="Work Sans" w:cs="Arial"/>
          <w:sz w:val="24"/>
        </w:rPr>
        <w:t>as actividades de inspección, mantenimiento o atención de contingencias.</w:t>
      </w:r>
    </w:p>
    <w:p w14:paraId="20B49B5E" w14:textId="77777777" w:rsidR="00A20CED" w:rsidRPr="006269D5" w:rsidRDefault="00A20CED" w:rsidP="006269D5">
      <w:pPr>
        <w:spacing w:line="240" w:lineRule="auto"/>
        <w:ind w:right="51"/>
        <w:contextualSpacing/>
        <w:jc w:val="both"/>
        <w:rPr>
          <w:rFonts w:ascii="Work Sans" w:hAnsi="Work Sans" w:cs="Arial"/>
          <w:sz w:val="24"/>
        </w:rPr>
      </w:pPr>
    </w:p>
    <w:p w14:paraId="7A7BB9C6" w14:textId="77777777" w:rsidR="006269D5" w:rsidRPr="006269D5" w:rsidRDefault="006269D5" w:rsidP="006269D5">
      <w:pPr>
        <w:spacing w:line="240" w:lineRule="auto"/>
        <w:ind w:right="51"/>
        <w:contextualSpacing/>
        <w:jc w:val="both"/>
        <w:rPr>
          <w:rFonts w:ascii="Work Sans" w:hAnsi="Work Sans" w:cs="Arial"/>
          <w:sz w:val="24"/>
        </w:rPr>
      </w:pPr>
      <w:r w:rsidRPr="006269D5">
        <w:rPr>
          <w:rFonts w:ascii="Work Sans" w:hAnsi="Work Sans" w:cs="Arial"/>
          <w:sz w:val="24"/>
        </w:rPr>
        <w:t>Asimismo, la configuración trifásica balanceada de la línea, sumada a la protección inherente de las tuberías y a la naturaleza aérea del cruce, descarta la generación de efectos adversos relevantes desde el punto de vista electromagnético o de corrosión inducida.</w:t>
      </w:r>
    </w:p>
    <w:p w14:paraId="7792C781" w14:textId="77777777" w:rsidR="006269D5" w:rsidRPr="006269D5" w:rsidRDefault="006269D5" w:rsidP="006269D5">
      <w:pPr>
        <w:spacing w:line="240" w:lineRule="auto"/>
        <w:ind w:right="51"/>
        <w:contextualSpacing/>
        <w:jc w:val="both"/>
        <w:rPr>
          <w:rFonts w:ascii="Work Sans" w:hAnsi="Work Sans" w:cs="Arial"/>
          <w:sz w:val="24"/>
        </w:rPr>
      </w:pPr>
    </w:p>
    <w:p w14:paraId="54FC9354" w14:textId="0A4A6315" w:rsidR="006269D5" w:rsidRPr="00A20CED" w:rsidRDefault="006269D5" w:rsidP="00B16CF3">
      <w:pPr>
        <w:pStyle w:val="Prrafodelista"/>
        <w:numPr>
          <w:ilvl w:val="0"/>
          <w:numId w:val="9"/>
        </w:numPr>
        <w:spacing w:after="0" w:line="240" w:lineRule="auto"/>
        <w:ind w:left="284" w:right="51" w:hanging="284"/>
        <w:jc w:val="both"/>
        <w:rPr>
          <w:rFonts w:ascii="Work Sans" w:hAnsi="Work Sans" w:cs="Arial"/>
          <w:b/>
          <w:bCs/>
          <w:sz w:val="24"/>
        </w:rPr>
      </w:pPr>
      <w:r w:rsidRPr="00A20CED">
        <w:rPr>
          <w:rFonts w:ascii="Work Sans" w:hAnsi="Work Sans" w:cs="Arial"/>
          <w:b/>
          <w:bCs/>
          <w:sz w:val="24"/>
        </w:rPr>
        <w:t>Conclusión de compatibilidad técnica y normativa</w:t>
      </w:r>
    </w:p>
    <w:p w14:paraId="1717E21E" w14:textId="77777777" w:rsidR="00A20CED" w:rsidRPr="00A20CED" w:rsidRDefault="00A20CED" w:rsidP="00B16CF3">
      <w:pPr>
        <w:spacing w:after="0" w:line="240" w:lineRule="auto"/>
        <w:ind w:right="51"/>
        <w:jc w:val="both"/>
        <w:rPr>
          <w:rFonts w:ascii="Work Sans" w:hAnsi="Work Sans" w:cs="Arial"/>
          <w:sz w:val="24"/>
        </w:rPr>
      </w:pPr>
    </w:p>
    <w:p w14:paraId="78ACD3E8" w14:textId="77777777" w:rsidR="006269D5" w:rsidRPr="006269D5" w:rsidRDefault="006269D5" w:rsidP="00B16CF3">
      <w:pPr>
        <w:spacing w:after="0" w:line="240" w:lineRule="auto"/>
        <w:ind w:right="51"/>
        <w:contextualSpacing/>
        <w:jc w:val="both"/>
        <w:rPr>
          <w:rFonts w:ascii="Work Sans" w:hAnsi="Work Sans" w:cs="Arial"/>
          <w:sz w:val="24"/>
        </w:rPr>
      </w:pPr>
      <w:r w:rsidRPr="006269D5">
        <w:rPr>
          <w:rFonts w:ascii="Work Sans" w:hAnsi="Work Sans" w:cs="Arial"/>
          <w:sz w:val="24"/>
        </w:rPr>
        <w:t>En consecuencia, y con fundamento en el análisis integral de la información técnica y normativa disponible, este Ministerio concluye que:</w:t>
      </w:r>
    </w:p>
    <w:p w14:paraId="194A55AF" w14:textId="77777777" w:rsidR="006269D5" w:rsidRPr="006269D5" w:rsidRDefault="006269D5" w:rsidP="006269D5">
      <w:pPr>
        <w:spacing w:line="240" w:lineRule="auto"/>
        <w:ind w:right="51"/>
        <w:contextualSpacing/>
        <w:jc w:val="both"/>
        <w:rPr>
          <w:rFonts w:ascii="Work Sans" w:hAnsi="Work Sans" w:cs="Arial"/>
          <w:sz w:val="24"/>
        </w:rPr>
      </w:pPr>
    </w:p>
    <w:p w14:paraId="53C5CB5A" w14:textId="50D00B96" w:rsidR="006269D5" w:rsidRDefault="006269D5" w:rsidP="00C574E5">
      <w:pPr>
        <w:spacing w:after="0" w:line="240" w:lineRule="auto"/>
        <w:ind w:right="51"/>
        <w:contextualSpacing/>
        <w:jc w:val="both"/>
        <w:rPr>
          <w:rFonts w:ascii="Work Sans" w:hAnsi="Work Sans" w:cs="Arial"/>
          <w:sz w:val="24"/>
        </w:rPr>
      </w:pPr>
      <w:r w:rsidRPr="006269D5">
        <w:rPr>
          <w:rFonts w:ascii="Work Sans" w:hAnsi="Work Sans" w:cs="Arial"/>
          <w:sz w:val="24"/>
        </w:rPr>
        <w:t>El proyecto “Línea de Extensión 3PA‑COMBIA 13.8 kV”</w:t>
      </w:r>
      <w:r w:rsidR="00C574E5">
        <w:rPr>
          <w:rFonts w:ascii="Work Sans" w:hAnsi="Work Sans" w:cs="Arial"/>
          <w:sz w:val="24"/>
        </w:rPr>
        <w:t xml:space="preserve"> así como se describe en los oficios y anexos </w:t>
      </w:r>
      <w:r w:rsidRPr="006269D5">
        <w:rPr>
          <w:rFonts w:ascii="Work Sans" w:hAnsi="Work Sans" w:cs="Arial"/>
          <w:sz w:val="24"/>
        </w:rPr>
        <w:t xml:space="preserve">mantiene su compatibilidad técnica, operativa y normativa con la infraestructura del </w:t>
      </w:r>
      <w:r w:rsidR="00582AD7">
        <w:rPr>
          <w:rFonts w:ascii="Work Sans" w:hAnsi="Work Sans" w:cs="Arial"/>
          <w:sz w:val="24"/>
        </w:rPr>
        <w:t>s</w:t>
      </w:r>
      <w:r w:rsidRPr="006269D5">
        <w:rPr>
          <w:rFonts w:ascii="Work Sans" w:hAnsi="Work Sans" w:cs="Arial"/>
          <w:sz w:val="24"/>
        </w:rPr>
        <w:t>ector Minero‑Energético existente en su área de influencia, no configurándose una situación de incompatibilidad que impida su desarrollo, ni resultando exigible la suscripción de un Acuerdo Operacional de Coexistencia, en los términos previstos por la Resolución MME 40358 de 2025</w:t>
      </w:r>
      <w:r w:rsidR="00C574E5">
        <w:rPr>
          <w:rFonts w:ascii="Work Sans" w:hAnsi="Work Sans" w:cs="Arial"/>
          <w:sz w:val="24"/>
        </w:rPr>
        <w:t>.</w:t>
      </w:r>
    </w:p>
    <w:p w14:paraId="7EE18D9C" w14:textId="77777777" w:rsidR="00C574E5" w:rsidRPr="006269D5" w:rsidRDefault="00C574E5" w:rsidP="00C574E5">
      <w:pPr>
        <w:spacing w:after="0" w:line="240" w:lineRule="auto"/>
        <w:ind w:right="51"/>
        <w:contextualSpacing/>
        <w:jc w:val="both"/>
        <w:rPr>
          <w:rFonts w:ascii="Work Sans" w:hAnsi="Work Sans" w:cs="Arial"/>
          <w:sz w:val="24"/>
        </w:rPr>
      </w:pPr>
    </w:p>
    <w:p w14:paraId="6BF4E0F2" w14:textId="37A58C3F" w:rsidR="00C574E5" w:rsidRDefault="00C574E5" w:rsidP="00C574E5">
      <w:pPr>
        <w:spacing w:line="240" w:lineRule="auto"/>
        <w:ind w:right="51"/>
        <w:contextualSpacing/>
        <w:jc w:val="both"/>
        <w:rPr>
          <w:rFonts w:ascii="Work Sans" w:hAnsi="Work Sans" w:cs="Arial"/>
          <w:sz w:val="24"/>
        </w:rPr>
      </w:pPr>
      <w:r>
        <w:rPr>
          <w:rFonts w:ascii="Work Sans" w:hAnsi="Work Sans" w:cs="Arial"/>
          <w:sz w:val="24"/>
        </w:rPr>
        <w:t>En tal sentido</w:t>
      </w:r>
      <w:r w:rsidRPr="00C574E5">
        <w:rPr>
          <w:rFonts w:ascii="Work Sans" w:hAnsi="Work Sans" w:cs="Arial"/>
          <w:b/>
          <w:bCs/>
          <w:sz w:val="24"/>
        </w:rPr>
        <w:t xml:space="preserve">, </w:t>
      </w:r>
      <w:r w:rsidRPr="00F478AC">
        <w:rPr>
          <w:rFonts w:ascii="Work Sans" w:hAnsi="Work Sans" w:cs="Arial"/>
          <w:sz w:val="24"/>
        </w:rPr>
        <w:t>la presente respuesta suministrada</w:t>
      </w:r>
      <w:r w:rsidRPr="00C574E5">
        <w:rPr>
          <w:rFonts w:ascii="Work Sans" w:hAnsi="Work Sans" w:cs="Arial"/>
          <w:b/>
          <w:bCs/>
          <w:sz w:val="24"/>
        </w:rPr>
        <w:t xml:space="preserve"> </w:t>
      </w:r>
      <w:r w:rsidRPr="00F478AC">
        <w:rPr>
          <w:rFonts w:ascii="Work Sans" w:hAnsi="Work Sans" w:cs="Arial"/>
          <w:b/>
          <w:bCs/>
          <w:sz w:val="24"/>
        </w:rPr>
        <w:t>no constituye un concepto jurídico ni una interpretación oficial</w:t>
      </w:r>
      <w:r>
        <w:rPr>
          <w:rFonts w:ascii="Work Sans" w:hAnsi="Work Sans" w:cs="Arial"/>
          <w:sz w:val="24"/>
        </w:rPr>
        <w:t xml:space="preserve"> del ordenamiento </w:t>
      </w:r>
      <w:r w:rsidR="00F478AC">
        <w:rPr>
          <w:rFonts w:ascii="Work Sans" w:hAnsi="Work Sans" w:cs="Arial"/>
          <w:sz w:val="24"/>
        </w:rPr>
        <w:t xml:space="preserve">técnico - </w:t>
      </w:r>
      <w:r>
        <w:rPr>
          <w:rFonts w:ascii="Work Sans" w:hAnsi="Work Sans" w:cs="Arial"/>
          <w:sz w:val="24"/>
        </w:rPr>
        <w:t>jurídico, máxime cuando esta Dirección no tiene dentro de sus competencias la facultad de emitir conceptos jurídicos o realizar interpretaciones normativas con efectos generales respecto de las disposiciones que regulan el sector. En consecuencia, las consideraciones aquí expuestas se circunscriben a brindar información y orientación en relación con los asuntos consultados, dentro del ámbito de las funciones asignadas a esta dependencia.</w:t>
      </w:r>
    </w:p>
    <w:p w14:paraId="2C668DA4" w14:textId="77777777" w:rsidR="00C574E5" w:rsidRDefault="00C574E5" w:rsidP="00C574E5">
      <w:pPr>
        <w:widowControl w:val="0"/>
        <w:suppressAutoHyphens w:val="0"/>
        <w:autoSpaceDE w:val="0"/>
        <w:autoSpaceDN w:val="0"/>
        <w:adjustRightInd w:val="0"/>
        <w:spacing w:after="0" w:line="240" w:lineRule="auto"/>
        <w:jc w:val="both"/>
        <w:rPr>
          <w:rFonts w:ascii="Work Sans" w:hAnsi="Work Sans" w:cs="Arial"/>
          <w:sz w:val="24"/>
          <w:szCs w:val="24"/>
        </w:rPr>
      </w:pPr>
    </w:p>
    <w:p w14:paraId="75548B71" w14:textId="77777777" w:rsidR="00C574E5" w:rsidRDefault="00C574E5" w:rsidP="00C574E5">
      <w:pPr>
        <w:pStyle w:val="Prrafodelista"/>
        <w:widowControl w:val="0"/>
        <w:suppressAutoHyphens w:val="0"/>
        <w:spacing w:after="0" w:line="240" w:lineRule="auto"/>
        <w:ind w:left="0"/>
        <w:jc w:val="both"/>
        <w:rPr>
          <w:rFonts w:ascii="Work Sans" w:hAnsi="Work Sans" w:cs="Arial"/>
          <w:sz w:val="24"/>
        </w:rPr>
      </w:pPr>
      <w:r>
        <w:rPr>
          <w:rFonts w:ascii="Work Sans" w:hAnsi="Work Sans" w:cs="Arial"/>
          <w:sz w:val="24"/>
        </w:rPr>
        <w:t>En gracia de discusión, conviene recordar el contenido del artículo 28 de la Ley 1437 de 2011, Código de Procedimiento Administrativo y de lo Contencioso Administrativo, que frente al particular señala lo siguiente:</w:t>
      </w:r>
    </w:p>
    <w:p w14:paraId="4776571A" w14:textId="77777777" w:rsidR="00C574E5" w:rsidRDefault="00C574E5" w:rsidP="00C574E5">
      <w:pPr>
        <w:widowControl w:val="0"/>
        <w:suppressAutoHyphens w:val="0"/>
        <w:spacing w:after="0" w:line="240" w:lineRule="auto"/>
        <w:jc w:val="both"/>
        <w:rPr>
          <w:rFonts w:ascii="Work Sans" w:hAnsi="Work Sans" w:cs="Arial"/>
          <w:sz w:val="24"/>
        </w:rPr>
      </w:pPr>
    </w:p>
    <w:p w14:paraId="21F84D66" w14:textId="77777777" w:rsidR="00C574E5" w:rsidRDefault="00C574E5" w:rsidP="00C574E5">
      <w:pPr>
        <w:widowControl w:val="0"/>
        <w:suppressAutoHyphens w:val="0"/>
        <w:spacing w:after="0" w:line="240" w:lineRule="auto"/>
        <w:jc w:val="both"/>
        <w:rPr>
          <w:rFonts w:ascii="Work Sans" w:hAnsi="Work Sans" w:cs="Arial"/>
          <w:sz w:val="24"/>
        </w:rPr>
      </w:pPr>
      <w:r>
        <w:rPr>
          <w:rFonts w:ascii="Work Sans" w:hAnsi="Work Sans" w:cs="Arial"/>
          <w:i/>
          <w:iCs/>
        </w:rPr>
        <w:t>“</w:t>
      </w:r>
      <w:r>
        <w:rPr>
          <w:rFonts w:ascii="Work Sans" w:hAnsi="Work Sans" w:cs="Arial"/>
          <w:b/>
          <w:bCs/>
          <w:i/>
          <w:iCs/>
        </w:rPr>
        <w:t>ARTÍCULO 28</w:t>
      </w:r>
      <w:r>
        <w:rPr>
          <w:rFonts w:ascii="Work Sans" w:hAnsi="Work Sans" w:cs="Arial"/>
          <w:i/>
          <w:iCs/>
        </w:rPr>
        <w:t xml:space="preserve">. Alcance de los conceptos. Salvo disposición legal en contrario, los conceptos emitidos por las autoridades como respuestas a peticiones realizadas en ejercicio del derecho a formular consultas </w:t>
      </w:r>
      <w:r>
        <w:rPr>
          <w:rFonts w:ascii="Work Sans" w:hAnsi="Work Sans" w:cs="Arial"/>
          <w:b/>
          <w:bCs/>
          <w:i/>
          <w:iCs/>
        </w:rPr>
        <w:t>no serán de obligatorio cumplimiento o ejecución</w:t>
      </w:r>
      <w:r>
        <w:rPr>
          <w:rFonts w:ascii="Work Sans" w:hAnsi="Work Sans" w:cs="Arial"/>
          <w:i/>
          <w:iCs/>
        </w:rPr>
        <w:t xml:space="preserve">.” </w:t>
      </w:r>
      <w:r>
        <w:rPr>
          <w:rFonts w:ascii="Work Sans" w:hAnsi="Work Sans" w:cs="Arial"/>
          <w:sz w:val="24"/>
        </w:rPr>
        <w:t>(Se destaca).</w:t>
      </w:r>
    </w:p>
    <w:p w14:paraId="4DBE0A6F" w14:textId="77777777" w:rsidR="00C574E5" w:rsidRDefault="00C574E5" w:rsidP="00C574E5">
      <w:pPr>
        <w:widowControl w:val="0"/>
        <w:suppressAutoHyphens w:val="0"/>
        <w:autoSpaceDE w:val="0"/>
        <w:autoSpaceDN w:val="0"/>
        <w:adjustRightInd w:val="0"/>
        <w:spacing w:after="0" w:line="240" w:lineRule="auto"/>
        <w:jc w:val="both"/>
        <w:rPr>
          <w:rFonts w:ascii="Work Sans" w:hAnsi="Work Sans" w:cs="Arial"/>
          <w:sz w:val="24"/>
        </w:rPr>
      </w:pPr>
    </w:p>
    <w:p w14:paraId="0EA33000" w14:textId="77777777" w:rsidR="00C574E5" w:rsidRDefault="00C574E5" w:rsidP="00C574E5">
      <w:pPr>
        <w:widowControl w:val="0"/>
        <w:suppressAutoHyphens w:val="0"/>
        <w:autoSpaceDE w:val="0"/>
        <w:autoSpaceDN w:val="0"/>
        <w:adjustRightInd w:val="0"/>
        <w:spacing w:after="0" w:line="240" w:lineRule="auto"/>
        <w:jc w:val="both"/>
        <w:rPr>
          <w:rFonts w:ascii="Work Sans" w:hAnsi="Work Sans" w:cs="Arial"/>
          <w:sz w:val="24"/>
          <w:szCs w:val="24"/>
        </w:rPr>
      </w:pPr>
      <w:r>
        <w:rPr>
          <w:rFonts w:ascii="Work Sans" w:hAnsi="Work Sans" w:cs="Arial"/>
          <w:sz w:val="24"/>
          <w:szCs w:val="24"/>
        </w:rPr>
        <w:lastRenderedPageBreak/>
        <w:t>Al respecto, el Consejo de Estado, en Sentencia proferida el 6 de febrero de 1997, expediente 7736, ha indicado sobre el tema, que:</w:t>
      </w:r>
    </w:p>
    <w:p w14:paraId="25752427" w14:textId="77777777" w:rsidR="00C574E5" w:rsidRDefault="00C574E5" w:rsidP="00C574E5">
      <w:pPr>
        <w:widowControl w:val="0"/>
        <w:suppressAutoHyphens w:val="0"/>
        <w:autoSpaceDE w:val="0"/>
        <w:autoSpaceDN w:val="0"/>
        <w:adjustRightInd w:val="0"/>
        <w:spacing w:after="0" w:line="240" w:lineRule="auto"/>
        <w:jc w:val="both"/>
        <w:rPr>
          <w:rFonts w:ascii="Work Sans" w:hAnsi="Work Sans" w:cs="Arial"/>
          <w:sz w:val="24"/>
          <w:szCs w:val="24"/>
        </w:rPr>
      </w:pPr>
    </w:p>
    <w:p w14:paraId="19F8AFD5" w14:textId="77777777" w:rsidR="00C574E5" w:rsidRDefault="00C574E5" w:rsidP="00C574E5">
      <w:pPr>
        <w:widowControl w:val="0"/>
        <w:suppressAutoHyphens w:val="0"/>
        <w:autoSpaceDE w:val="0"/>
        <w:autoSpaceDN w:val="0"/>
        <w:adjustRightInd w:val="0"/>
        <w:spacing w:after="0" w:line="240" w:lineRule="auto"/>
        <w:jc w:val="both"/>
        <w:rPr>
          <w:rFonts w:ascii="Work Sans" w:hAnsi="Work Sans" w:cs="Arial"/>
          <w:i/>
          <w:iCs/>
          <w:szCs w:val="20"/>
        </w:rPr>
      </w:pPr>
      <w:r>
        <w:rPr>
          <w:rFonts w:ascii="Work Sans" w:hAnsi="Work Sans" w:cs="Arial"/>
          <w:i/>
          <w:iCs/>
          <w:szCs w:val="20"/>
        </w:rPr>
        <w:t>"(…) No contempla dicha disposición la posibilidad de impugnar ante la jurisdicción de lo contencioso administrativo la respuesta que profieren las entidades, al absolver las consultas que formulan los particulares, en ejercicio del derecho de petición, relacionadas con el alcance de las disposiciones de orden legal. (…).no contiene una decisión capaz de crear, modificar, ni extinguir situación jurídica de ninguna índole, ya sea de carácter general o particular (...)".</w:t>
      </w:r>
    </w:p>
    <w:p w14:paraId="6839C6E4" w14:textId="0B8FFA63" w:rsidR="00C574E5" w:rsidRDefault="00C574E5" w:rsidP="00484A5A">
      <w:pPr>
        <w:spacing w:line="240" w:lineRule="auto"/>
        <w:ind w:right="51"/>
        <w:contextualSpacing/>
        <w:jc w:val="both"/>
        <w:rPr>
          <w:rFonts w:ascii="Work Sans" w:hAnsi="Work Sans" w:cs="Arial"/>
          <w:sz w:val="24"/>
          <w:highlight w:val="yellow"/>
        </w:rPr>
      </w:pPr>
    </w:p>
    <w:p w14:paraId="6037D5D3" w14:textId="42606BBB" w:rsidR="00C574E5" w:rsidRPr="001E4983" w:rsidRDefault="00582AD7" w:rsidP="001E4983">
      <w:pPr>
        <w:widowControl w:val="0"/>
        <w:suppressAutoHyphens w:val="0"/>
        <w:autoSpaceDE w:val="0"/>
        <w:autoSpaceDN w:val="0"/>
        <w:adjustRightInd w:val="0"/>
        <w:spacing w:after="0" w:line="240" w:lineRule="auto"/>
        <w:jc w:val="both"/>
        <w:rPr>
          <w:rFonts w:ascii="Work Sans" w:hAnsi="Work Sans" w:cs="Arial"/>
          <w:sz w:val="24"/>
          <w:szCs w:val="24"/>
        </w:rPr>
      </w:pPr>
      <w:r w:rsidRPr="001E4983">
        <w:rPr>
          <w:rFonts w:ascii="Work Sans" w:hAnsi="Work Sans" w:cs="Arial"/>
          <w:sz w:val="24"/>
          <w:szCs w:val="24"/>
        </w:rPr>
        <w:t xml:space="preserve">Se recomienda, que la firma SUNCOLOMBIA S.A.S., </w:t>
      </w:r>
      <w:r w:rsidR="00124B74" w:rsidRPr="001E4983">
        <w:rPr>
          <w:rFonts w:ascii="Work Sans" w:hAnsi="Work Sans" w:cs="Arial"/>
          <w:sz w:val="24"/>
          <w:szCs w:val="24"/>
        </w:rPr>
        <w:t xml:space="preserve">nos allegue certificación </w:t>
      </w:r>
      <w:r w:rsidR="001E4983" w:rsidRPr="001E4983">
        <w:rPr>
          <w:rFonts w:ascii="Work Sans" w:hAnsi="Work Sans" w:cs="Arial"/>
          <w:sz w:val="24"/>
          <w:szCs w:val="24"/>
        </w:rPr>
        <w:t>emitida por</w:t>
      </w:r>
      <w:r w:rsidR="00124B74" w:rsidRPr="001E4983">
        <w:rPr>
          <w:rFonts w:ascii="Work Sans" w:hAnsi="Work Sans" w:cs="Arial"/>
          <w:sz w:val="24"/>
          <w:szCs w:val="24"/>
        </w:rPr>
        <w:t xml:space="preserve"> </w:t>
      </w:r>
      <w:r w:rsidR="001E4983" w:rsidRPr="001E4983">
        <w:rPr>
          <w:rFonts w:ascii="Work Sans" w:hAnsi="Work Sans" w:cs="Arial"/>
          <w:sz w:val="24"/>
          <w:szCs w:val="24"/>
        </w:rPr>
        <w:t xml:space="preserve">las </w:t>
      </w:r>
      <w:r w:rsidR="00124B74" w:rsidRPr="001E4983">
        <w:rPr>
          <w:rFonts w:ascii="Work Sans" w:hAnsi="Work Sans" w:cs="Arial"/>
          <w:sz w:val="24"/>
          <w:szCs w:val="24"/>
        </w:rPr>
        <w:t xml:space="preserve">empresas </w:t>
      </w:r>
      <w:r w:rsidR="001E4983">
        <w:rPr>
          <w:rFonts w:ascii="Work Sans" w:hAnsi="Work Sans" w:cs="Arial"/>
          <w:sz w:val="24"/>
          <w:szCs w:val="24"/>
        </w:rPr>
        <w:t xml:space="preserve">operadoras </w:t>
      </w:r>
      <w:r w:rsidR="001E4983" w:rsidRPr="001E4983">
        <w:rPr>
          <w:rFonts w:ascii="Work Sans" w:hAnsi="Work Sans" w:cs="Arial"/>
          <w:sz w:val="24"/>
          <w:szCs w:val="24"/>
        </w:rPr>
        <w:t>al transporte de hidrocarburos en el área de influencia del proyecto</w:t>
      </w:r>
      <w:r w:rsidR="001E4983">
        <w:rPr>
          <w:rFonts w:ascii="Work Sans" w:hAnsi="Work Sans" w:cs="Arial"/>
          <w:sz w:val="24"/>
          <w:szCs w:val="24"/>
        </w:rPr>
        <w:t xml:space="preserve"> junto con el proyecto </w:t>
      </w:r>
      <w:r w:rsidR="001E4983" w:rsidRPr="001E4983">
        <w:rPr>
          <w:rFonts w:ascii="Work Sans" w:hAnsi="Work Sans" w:cs="Arial"/>
          <w:sz w:val="24"/>
          <w:szCs w:val="24"/>
        </w:rPr>
        <w:t xml:space="preserve">Pequeña Central Hidroeléctrica - PCH </w:t>
      </w:r>
      <w:r w:rsidR="001E4983">
        <w:rPr>
          <w:rFonts w:ascii="Work Sans" w:hAnsi="Work Sans" w:cs="Arial"/>
          <w:sz w:val="24"/>
          <w:szCs w:val="24"/>
        </w:rPr>
        <w:t xml:space="preserve">el </w:t>
      </w:r>
      <w:r w:rsidR="001E4983" w:rsidRPr="001E4983">
        <w:rPr>
          <w:rFonts w:ascii="Work Sans" w:hAnsi="Work Sans" w:cs="Arial"/>
          <w:sz w:val="24"/>
          <w:szCs w:val="24"/>
        </w:rPr>
        <w:t>Paraíso</w:t>
      </w:r>
      <w:r w:rsidR="001E4983">
        <w:rPr>
          <w:rFonts w:ascii="Work Sans" w:hAnsi="Work Sans" w:cs="Arial"/>
          <w:sz w:val="24"/>
          <w:szCs w:val="24"/>
        </w:rPr>
        <w:t>,</w:t>
      </w:r>
      <w:r w:rsidR="001E4983" w:rsidRPr="001E4983">
        <w:rPr>
          <w:rFonts w:ascii="Work Sans" w:hAnsi="Work Sans" w:cs="Arial"/>
          <w:sz w:val="24"/>
          <w:szCs w:val="24"/>
        </w:rPr>
        <w:t xml:space="preserve"> donde nos manifiesten que no existen conflicto de coexistencia entre proyectos</w:t>
      </w:r>
      <w:r w:rsidR="001E4983">
        <w:rPr>
          <w:rFonts w:ascii="Work Sans" w:hAnsi="Work Sans" w:cs="Arial"/>
          <w:sz w:val="24"/>
          <w:szCs w:val="24"/>
        </w:rPr>
        <w:t xml:space="preserve"> antes señalados</w:t>
      </w:r>
      <w:r w:rsidR="00D44C0D">
        <w:rPr>
          <w:rFonts w:ascii="Work Sans" w:hAnsi="Work Sans" w:cs="Arial"/>
          <w:sz w:val="24"/>
          <w:szCs w:val="24"/>
        </w:rPr>
        <w:t>.</w:t>
      </w:r>
      <w:r w:rsidR="00124B74" w:rsidRPr="001E4983">
        <w:rPr>
          <w:rFonts w:ascii="Work Sans" w:hAnsi="Work Sans" w:cs="Arial"/>
          <w:sz w:val="24"/>
          <w:szCs w:val="24"/>
        </w:rPr>
        <w:t xml:space="preserve"> </w:t>
      </w:r>
      <w:r w:rsidR="00D44C0D">
        <w:rPr>
          <w:rFonts w:ascii="Work Sans" w:hAnsi="Work Sans" w:cs="Arial"/>
          <w:sz w:val="24"/>
          <w:szCs w:val="24"/>
        </w:rPr>
        <w:t xml:space="preserve">Además, se necesitan mas elementos de juicio </w:t>
      </w:r>
    </w:p>
    <w:p w14:paraId="08ABC1F5" w14:textId="74858389" w:rsidR="00D44C0D" w:rsidRPr="00B27759" w:rsidRDefault="00D44C0D" w:rsidP="00484A5A">
      <w:pPr>
        <w:spacing w:line="240" w:lineRule="auto"/>
        <w:ind w:right="51"/>
        <w:contextualSpacing/>
        <w:jc w:val="both"/>
        <w:rPr>
          <w:rFonts w:ascii="Work Sans" w:hAnsi="Work Sans" w:cs="Arial"/>
          <w:sz w:val="24"/>
        </w:rPr>
      </w:pPr>
      <w:r w:rsidRPr="00B27759">
        <w:rPr>
          <w:rFonts w:ascii="Work Sans" w:hAnsi="Work Sans" w:cs="Arial"/>
          <w:sz w:val="24"/>
        </w:rPr>
        <w:t>para el respectivo análisis entre los cuales se encuentra la programación de una visita al sitio del proyecto por parte de la Dirección Eléctrica del Ministerio de Minas y Energía junto a los operadores de ductos mencionados en el oficio.</w:t>
      </w:r>
    </w:p>
    <w:p w14:paraId="4436FC8C" w14:textId="2E5186C3" w:rsidR="00C574E5" w:rsidRPr="00B27759" w:rsidRDefault="00D44C0D" w:rsidP="00484A5A">
      <w:pPr>
        <w:spacing w:line="240" w:lineRule="auto"/>
        <w:ind w:right="51"/>
        <w:contextualSpacing/>
        <w:jc w:val="both"/>
        <w:rPr>
          <w:rFonts w:ascii="Work Sans" w:hAnsi="Work Sans" w:cs="Arial"/>
          <w:sz w:val="24"/>
        </w:rPr>
      </w:pPr>
      <w:r w:rsidRPr="00B27759">
        <w:rPr>
          <w:rFonts w:ascii="Work Sans" w:hAnsi="Work Sans" w:cs="Arial"/>
          <w:sz w:val="24"/>
        </w:rPr>
        <w:t xml:space="preserve">  </w:t>
      </w:r>
    </w:p>
    <w:p w14:paraId="01EBE20D" w14:textId="23703BF8" w:rsidR="00C574E5" w:rsidRPr="00B27759" w:rsidRDefault="00C574E5" w:rsidP="00484A5A">
      <w:pPr>
        <w:spacing w:line="240" w:lineRule="auto"/>
        <w:ind w:right="51"/>
        <w:contextualSpacing/>
        <w:jc w:val="both"/>
        <w:rPr>
          <w:rFonts w:ascii="Work Sans" w:hAnsi="Work Sans" w:cs="Arial"/>
          <w:sz w:val="24"/>
        </w:rPr>
      </w:pPr>
    </w:p>
    <w:p w14:paraId="603C0BAB" w14:textId="77777777" w:rsidR="00C574E5" w:rsidRDefault="00C574E5" w:rsidP="00484A5A">
      <w:pPr>
        <w:spacing w:line="240" w:lineRule="auto"/>
        <w:ind w:right="51"/>
        <w:contextualSpacing/>
        <w:jc w:val="both"/>
        <w:rPr>
          <w:rFonts w:ascii="Work Sans" w:hAnsi="Work Sans" w:cs="Arial"/>
          <w:sz w:val="24"/>
          <w:highlight w:val="yellow"/>
        </w:rPr>
      </w:pPr>
    </w:p>
    <w:p w14:paraId="7F631C2F" w14:textId="27AD1BE9" w:rsidR="00484A5A" w:rsidRPr="00640E5A" w:rsidRDefault="00693C2B" w:rsidP="00484A5A">
      <w:pPr>
        <w:spacing w:line="240" w:lineRule="auto"/>
        <w:ind w:right="51"/>
        <w:contextualSpacing/>
        <w:jc w:val="both"/>
        <w:rPr>
          <w:rFonts w:ascii="Work Sans" w:hAnsi="Work Sans" w:cs="Arial"/>
          <w:sz w:val="24"/>
        </w:rPr>
      </w:pPr>
      <w:r>
        <w:rPr>
          <w:rFonts w:ascii="Work Sans" w:hAnsi="Work Sans" w:cs="Arial"/>
          <w:sz w:val="24"/>
        </w:rPr>
        <w:t>Atentamente</w:t>
      </w:r>
      <w:r w:rsidR="00484A5A" w:rsidRPr="00640E5A">
        <w:rPr>
          <w:rFonts w:ascii="Work Sans" w:hAnsi="Work Sans" w:cs="Arial"/>
          <w:sz w:val="24"/>
        </w:rPr>
        <w:t>,</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r>
        <w:rPr>
          <w:rFonts w:ascii="Work Sans" w:hAnsi="Work Sans"/>
          <w:sz w:val="16"/>
          <w:szCs w:val="16"/>
        </w:rPr>
        <w:t>ley_texto</w:t>
      </w:r>
    </w:p>
    <w:p w14:paraId="5F6C3CB9" w14:textId="77777777" w:rsidR="00DE1913" w:rsidRDefault="003B2B73">
      <w:pPr>
        <w:spacing w:after="0"/>
        <w:rPr>
          <w:rFonts w:ascii="Work Sans" w:hAnsi="Work Sans"/>
          <w:sz w:val="16"/>
          <w:szCs w:val="16"/>
        </w:rPr>
      </w:pPr>
      <w:r>
        <w:rPr>
          <w:rFonts w:ascii="Work Sans" w:hAnsi="Work Sans"/>
          <w:sz w:val="16"/>
          <w:szCs w:val="16"/>
        </w:rPr>
        <w:t xml:space="preserve">copias_r </w:t>
      </w:r>
    </w:p>
    <w:p w14:paraId="56626830"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77777777" w:rsidR="00DE1913" w:rsidRDefault="003B2B73">
      <w:pPr>
        <w:spacing w:after="0"/>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4BD41" w14:textId="77777777" w:rsidR="00C92B7B" w:rsidRDefault="00C92B7B">
      <w:pPr>
        <w:spacing w:after="0" w:line="240" w:lineRule="auto"/>
      </w:pPr>
      <w:r>
        <w:separator/>
      </w:r>
    </w:p>
  </w:endnote>
  <w:endnote w:type="continuationSeparator" w:id="0">
    <w:p w14:paraId="0D0EC06F" w14:textId="77777777" w:rsidR="00C92B7B" w:rsidRDefault="00C92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90DCE" w14:textId="77777777" w:rsidR="00C92B7B" w:rsidRDefault="00C92B7B">
      <w:pPr>
        <w:spacing w:after="0" w:line="240" w:lineRule="auto"/>
      </w:pPr>
      <w:r>
        <w:separator/>
      </w:r>
    </w:p>
  </w:footnote>
  <w:footnote w:type="continuationSeparator" w:id="0">
    <w:p w14:paraId="5F474C17" w14:textId="77777777" w:rsidR="00C92B7B" w:rsidRDefault="00C92B7B">
      <w:pPr>
        <w:spacing w:after="0" w:line="240" w:lineRule="auto"/>
      </w:pPr>
      <w:r>
        <w:continuationSeparator/>
      </w:r>
    </w:p>
  </w:footnote>
  <w:footnote w:id="1">
    <w:p w14:paraId="796FE4F5" w14:textId="1EC7819B" w:rsidR="00666DC1" w:rsidRPr="00666DC1" w:rsidRDefault="00666DC1">
      <w:pPr>
        <w:pStyle w:val="Textonotapie"/>
        <w:rPr>
          <w:lang w:val="es-ES"/>
        </w:rPr>
      </w:pPr>
      <w:r>
        <w:rPr>
          <w:rStyle w:val="Refdenotaalpie"/>
        </w:rPr>
        <w:footnoteRef/>
      </w:r>
      <w:r>
        <w:t xml:space="preserve"> </w:t>
      </w:r>
      <w:r>
        <w:rPr>
          <w:i/>
          <w:iCs/>
        </w:rPr>
        <w:t>Por la cual se modifica el Reglamento Técnico de Instalaciones Eléctricas - RETIE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7BE74B"/>
    <w:multiLevelType w:val="hybridMultilevel"/>
    <w:tmpl w:val="E7BEDE0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F7813B5"/>
    <w:multiLevelType w:val="hybridMultilevel"/>
    <w:tmpl w:val="A638108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EE819A4"/>
    <w:multiLevelType w:val="hybridMultilevel"/>
    <w:tmpl w:val="D4EBCBD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88D2B0A"/>
    <w:multiLevelType w:val="hybridMultilevel"/>
    <w:tmpl w:val="B9D468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E93190B"/>
    <w:multiLevelType w:val="hybridMultilevel"/>
    <w:tmpl w:val="D0D2B9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456CF5"/>
    <w:multiLevelType w:val="hybridMultilevel"/>
    <w:tmpl w:val="8F2866E2"/>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6" w15:restartNumberingAfterBreak="0">
    <w:nsid w:val="29281643"/>
    <w:multiLevelType w:val="hybridMultilevel"/>
    <w:tmpl w:val="5784BF9E"/>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7" w15:restartNumberingAfterBreak="0">
    <w:nsid w:val="294B41C4"/>
    <w:multiLevelType w:val="hybridMultilevel"/>
    <w:tmpl w:val="6B6E24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BC971A4"/>
    <w:multiLevelType w:val="hybridMultilevel"/>
    <w:tmpl w:val="F27AEB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B7B2FC9"/>
    <w:multiLevelType w:val="hybridMultilevel"/>
    <w:tmpl w:val="F2E0445C"/>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abstractNum w:abstractNumId="10" w15:restartNumberingAfterBreak="0">
    <w:nsid w:val="3ED115B6"/>
    <w:multiLevelType w:val="hybridMultilevel"/>
    <w:tmpl w:val="C87AA86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0FC6377"/>
    <w:multiLevelType w:val="hybridMultilevel"/>
    <w:tmpl w:val="5036B436"/>
    <w:lvl w:ilvl="0" w:tplc="240A0001">
      <w:start w:val="1"/>
      <w:numFmt w:val="bullet"/>
      <w:lvlText w:val=""/>
      <w:lvlJc w:val="left"/>
      <w:pPr>
        <w:ind w:left="862" w:hanging="360"/>
      </w:pPr>
      <w:rPr>
        <w:rFonts w:ascii="Symbol" w:hAnsi="Symbol" w:hint="default"/>
      </w:rPr>
    </w:lvl>
    <w:lvl w:ilvl="1" w:tplc="240A0003" w:tentative="1">
      <w:start w:val="1"/>
      <w:numFmt w:val="bullet"/>
      <w:lvlText w:val="o"/>
      <w:lvlJc w:val="left"/>
      <w:pPr>
        <w:ind w:left="1582" w:hanging="360"/>
      </w:pPr>
      <w:rPr>
        <w:rFonts w:ascii="Courier New" w:hAnsi="Courier New" w:cs="Courier New" w:hint="default"/>
      </w:rPr>
    </w:lvl>
    <w:lvl w:ilvl="2" w:tplc="240A0005" w:tentative="1">
      <w:start w:val="1"/>
      <w:numFmt w:val="bullet"/>
      <w:lvlText w:val=""/>
      <w:lvlJc w:val="left"/>
      <w:pPr>
        <w:ind w:left="2302" w:hanging="360"/>
      </w:pPr>
      <w:rPr>
        <w:rFonts w:ascii="Wingdings" w:hAnsi="Wingdings" w:hint="default"/>
      </w:rPr>
    </w:lvl>
    <w:lvl w:ilvl="3" w:tplc="240A0001" w:tentative="1">
      <w:start w:val="1"/>
      <w:numFmt w:val="bullet"/>
      <w:lvlText w:val=""/>
      <w:lvlJc w:val="left"/>
      <w:pPr>
        <w:ind w:left="3022" w:hanging="360"/>
      </w:pPr>
      <w:rPr>
        <w:rFonts w:ascii="Symbol" w:hAnsi="Symbol" w:hint="default"/>
      </w:rPr>
    </w:lvl>
    <w:lvl w:ilvl="4" w:tplc="240A0003" w:tentative="1">
      <w:start w:val="1"/>
      <w:numFmt w:val="bullet"/>
      <w:lvlText w:val="o"/>
      <w:lvlJc w:val="left"/>
      <w:pPr>
        <w:ind w:left="3742" w:hanging="360"/>
      </w:pPr>
      <w:rPr>
        <w:rFonts w:ascii="Courier New" w:hAnsi="Courier New" w:cs="Courier New" w:hint="default"/>
      </w:rPr>
    </w:lvl>
    <w:lvl w:ilvl="5" w:tplc="240A0005" w:tentative="1">
      <w:start w:val="1"/>
      <w:numFmt w:val="bullet"/>
      <w:lvlText w:val=""/>
      <w:lvlJc w:val="left"/>
      <w:pPr>
        <w:ind w:left="4462" w:hanging="360"/>
      </w:pPr>
      <w:rPr>
        <w:rFonts w:ascii="Wingdings" w:hAnsi="Wingdings" w:hint="default"/>
      </w:rPr>
    </w:lvl>
    <w:lvl w:ilvl="6" w:tplc="240A0001" w:tentative="1">
      <w:start w:val="1"/>
      <w:numFmt w:val="bullet"/>
      <w:lvlText w:val=""/>
      <w:lvlJc w:val="left"/>
      <w:pPr>
        <w:ind w:left="5182" w:hanging="360"/>
      </w:pPr>
      <w:rPr>
        <w:rFonts w:ascii="Symbol" w:hAnsi="Symbol" w:hint="default"/>
      </w:rPr>
    </w:lvl>
    <w:lvl w:ilvl="7" w:tplc="240A0003" w:tentative="1">
      <w:start w:val="1"/>
      <w:numFmt w:val="bullet"/>
      <w:lvlText w:val="o"/>
      <w:lvlJc w:val="left"/>
      <w:pPr>
        <w:ind w:left="5902" w:hanging="360"/>
      </w:pPr>
      <w:rPr>
        <w:rFonts w:ascii="Courier New" w:hAnsi="Courier New" w:cs="Courier New" w:hint="default"/>
      </w:rPr>
    </w:lvl>
    <w:lvl w:ilvl="8" w:tplc="240A0005" w:tentative="1">
      <w:start w:val="1"/>
      <w:numFmt w:val="bullet"/>
      <w:lvlText w:val=""/>
      <w:lvlJc w:val="left"/>
      <w:pPr>
        <w:ind w:left="6622" w:hanging="360"/>
      </w:pPr>
      <w:rPr>
        <w:rFonts w:ascii="Wingdings" w:hAnsi="Wingdings" w:hint="default"/>
      </w:rPr>
    </w:lvl>
  </w:abstractNum>
  <w:num w:numId="1" w16cid:durableId="2076001506">
    <w:abstractNumId w:val="9"/>
  </w:num>
  <w:num w:numId="2" w16cid:durableId="265962300">
    <w:abstractNumId w:val="5"/>
  </w:num>
  <w:num w:numId="3" w16cid:durableId="879779210">
    <w:abstractNumId w:val="1"/>
  </w:num>
  <w:num w:numId="4" w16cid:durableId="645553764">
    <w:abstractNumId w:val="7"/>
  </w:num>
  <w:num w:numId="5" w16cid:durableId="2082825945">
    <w:abstractNumId w:val="2"/>
  </w:num>
  <w:num w:numId="6" w16cid:durableId="1302152746">
    <w:abstractNumId w:val="0"/>
  </w:num>
  <w:num w:numId="7" w16cid:durableId="1762750242">
    <w:abstractNumId w:val="6"/>
  </w:num>
  <w:num w:numId="8" w16cid:durableId="145631761">
    <w:abstractNumId w:val="11"/>
  </w:num>
  <w:num w:numId="9" w16cid:durableId="2103064250">
    <w:abstractNumId w:val="10"/>
  </w:num>
  <w:num w:numId="10" w16cid:durableId="1118454803">
    <w:abstractNumId w:val="4"/>
  </w:num>
  <w:num w:numId="11" w16cid:durableId="841513127">
    <w:abstractNumId w:val="3"/>
  </w:num>
  <w:num w:numId="12" w16cid:durableId="12241795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6A52"/>
    <w:rsid w:val="00027169"/>
    <w:rsid w:val="000418C8"/>
    <w:rsid w:val="0005618E"/>
    <w:rsid w:val="00060F6B"/>
    <w:rsid w:val="00074548"/>
    <w:rsid w:val="000D1A86"/>
    <w:rsid w:val="00124B74"/>
    <w:rsid w:val="00164865"/>
    <w:rsid w:val="00180FC4"/>
    <w:rsid w:val="001818F1"/>
    <w:rsid w:val="00184885"/>
    <w:rsid w:val="001920E6"/>
    <w:rsid w:val="00195057"/>
    <w:rsid w:val="001B0CFA"/>
    <w:rsid w:val="001D678B"/>
    <w:rsid w:val="001E4983"/>
    <w:rsid w:val="0021775D"/>
    <w:rsid w:val="002307BF"/>
    <w:rsid w:val="002478C2"/>
    <w:rsid w:val="00250344"/>
    <w:rsid w:val="00253AB8"/>
    <w:rsid w:val="00254AF5"/>
    <w:rsid w:val="00261CF6"/>
    <w:rsid w:val="00262ACE"/>
    <w:rsid w:val="00276CB7"/>
    <w:rsid w:val="00293AA2"/>
    <w:rsid w:val="002A006A"/>
    <w:rsid w:val="002B3A44"/>
    <w:rsid w:val="003121A9"/>
    <w:rsid w:val="00316EA0"/>
    <w:rsid w:val="0033258E"/>
    <w:rsid w:val="0034188C"/>
    <w:rsid w:val="0039492B"/>
    <w:rsid w:val="003B2B73"/>
    <w:rsid w:val="003B36C7"/>
    <w:rsid w:val="003B6B9C"/>
    <w:rsid w:val="003D6D06"/>
    <w:rsid w:val="0040794F"/>
    <w:rsid w:val="00477F1B"/>
    <w:rsid w:val="00484A5A"/>
    <w:rsid w:val="004919C0"/>
    <w:rsid w:val="00496E70"/>
    <w:rsid w:val="004A726F"/>
    <w:rsid w:val="004D30BA"/>
    <w:rsid w:val="004F0854"/>
    <w:rsid w:val="00504338"/>
    <w:rsid w:val="00513075"/>
    <w:rsid w:val="005225C6"/>
    <w:rsid w:val="00542DF8"/>
    <w:rsid w:val="005617AA"/>
    <w:rsid w:val="005646C4"/>
    <w:rsid w:val="005675D4"/>
    <w:rsid w:val="00582AD7"/>
    <w:rsid w:val="00596FE3"/>
    <w:rsid w:val="005F7666"/>
    <w:rsid w:val="00626561"/>
    <w:rsid w:val="006269D5"/>
    <w:rsid w:val="00640E5A"/>
    <w:rsid w:val="00666DC1"/>
    <w:rsid w:val="00674B06"/>
    <w:rsid w:val="00693C2B"/>
    <w:rsid w:val="006E798F"/>
    <w:rsid w:val="00712D5E"/>
    <w:rsid w:val="00721306"/>
    <w:rsid w:val="007424B3"/>
    <w:rsid w:val="00754CEC"/>
    <w:rsid w:val="007A5A72"/>
    <w:rsid w:val="007B32AD"/>
    <w:rsid w:val="007B4C23"/>
    <w:rsid w:val="007B523C"/>
    <w:rsid w:val="007B696C"/>
    <w:rsid w:val="007C10A7"/>
    <w:rsid w:val="00823427"/>
    <w:rsid w:val="008276D7"/>
    <w:rsid w:val="00830730"/>
    <w:rsid w:val="00833054"/>
    <w:rsid w:val="00892C0E"/>
    <w:rsid w:val="0089762C"/>
    <w:rsid w:val="008A120E"/>
    <w:rsid w:val="008A2780"/>
    <w:rsid w:val="008E339D"/>
    <w:rsid w:val="008E4ABF"/>
    <w:rsid w:val="00923DF3"/>
    <w:rsid w:val="009359F1"/>
    <w:rsid w:val="009451F1"/>
    <w:rsid w:val="00981241"/>
    <w:rsid w:val="0098320E"/>
    <w:rsid w:val="009C190E"/>
    <w:rsid w:val="009E5228"/>
    <w:rsid w:val="009F1D04"/>
    <w:rsid w:val="00A20CED"/>
    <w:rsid w:val="00A20F47"/>
    <w:rsid w:val="00A32CE2"/>
    <w:rsid w:val="00A3590E"/>
    <w:rsid w:val="00A86526"/>
    <w:rsid w:val="00AA15A8"/>
    <w:rsid w:val="00AC0955"/>
    <w:rsid w:val="00AC7DE7"/>
    <w:rsid w:val="00AD43C1"/>
    <w:rsid w:val="00B0624C"/>
    <w:rsid w:val="00B16CF3"/>
    <w:rsid w:val="00B27759"/>
    <w:rsid w:val="00B400CD"/>
    <w:rsid w:val="00B4250F"/>
    <w:rsid w:val="00B51607"/>
    <w:rsid w:val="00BB40CC"/>
    <w:rsid w:val="00BF5E30"/>
    <w:rsid w:val="00C0455B"/>
    <w:rsid w:val="00C22733"/>
    <w:rsid w:val="00C574E5"/>
    <w:rsid w:val="00C92B7B"/>
    <w:rsid w:val="00CD532E"/>
    <w:rsid w:val="00CF7601"/>
    <w:rsid w:val="00D0073C"/>
    <w:rsid w:val="00D23294"/>
    <w:rsid w:val="00D31306"/>
    <w:rsid w:val="00D44C0D"/>
    <w:rsid w:val="00D57B4F"/>
    <w:rsid w:val="00DC7B37"/>
    <w:rsid w:val="00DD4879"/>
    <w:rsid w:val="00DE1913"/>
    <w:rsid w:val="00E06572"/>
    <w:rsid w:val="00E113E2"/>
    <w:rsid w:val="00E36C14"/>
    <w:rsid w:val="00E37AC0"/>
    <w:rsid w:val="00E5079F"/>
    <w:rsid w:val="00E823F2"/>
    <w:rsid w:val="00EB3862"/>
    <w:rsid w:val="00EC3103"/>
    <w:rsid w:val="00EE3A9E"/>
    <w:rsid w:val="00F478AC"/>
    <w:rsid w:val="00F80A1F"/>
    <w:rsid w:val="00F94C11"/>
    <w:rsid w:val="00F9648D"/>
    <w:rsid w:val="00FA39E8"/>
    <w:rsid w:val="00FA439A"/>
    <w:rsid w:val="00FB0A2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rsid w:val="00693C2B"/>
    <w:pPr>
      <w:suppressAutoHyphens w:val="0"/>
      <w:autoSpaceDE w:val="0"/>
      <w:autoSpaceDN w:val="0"/>
      <w:adjustRightInd w:val="0"/>
    </w:pPr>
    <w:rPr>
      <w:rFonts w:ascii="Work Sans" w:hAnsi="Work Sans" w:cs="Work Sans"/>
      <w:color w:val="000000"/>
      <w:sz w:val="24"/>
      <w:szCs w:val="24"/>
    </w:rPr>
  </w:style>
  <w:style w:type="paragraph" w:styleId="Prrafodelista">
    <w:name w:val="List Paragraph"/>
    <w:basedOn w:val="Normal"/>
    <w:uiPriority w:val="34"/>
    <w:qFormat/>
    <w:rsid w:val="0040794F"/>
    <w:pPr>
      <w:ind w:left="720"/>
      <w:contextualSpacing/>
    </w:pPr>
  </w:style>
  <w:style w:type="paragraph" w:styleId="Textonotapie">
    <w:name w:val="footnote text"/>
    <w:basedOn w:val="Normal"/>
    <w:link w:val="TextonotapieCar"/>
    <w:uiPriority w:val="99"/>
    <w:semiHidden/>
    <w:unhideWhenUsed/>
    <w:rsid w:val="00666DC1"/>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666DC1"/>
    <w:rPr>
      <w:sz w:val="20"/>
      <w:szCs w:val="20"/>
    </w:rPr>
  </w:style>
  <w:style w:type="character" w:styleId="Refdenotaalpie">
    <w:name w:val="footnote reference"/>
    <w:basedOn w:val="Fuentedeprrafopredeter"/>
    <w:uiPriority w:val="99"/>
    <w:semiHidden/>
    <w:unhideWhenUsed/>
    <w:rsid w:val="00666DC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7829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2A0-E054-442D-A546-A9E90CAE4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1234</Words>
  <Characters>6787</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Cristian R. Gaviria Araque</cp:lastModifiedBy>
  <cp:revision>2</cp:revision>
  <dcterms:created xsi:type="dcterms:W3CDTF">2026-04-23T02:29:00Z</dcterms:created>
  <dcterms:modified xsi:type="dcterms:W3CDTF">2026-04-23T02:29:00Z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